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38FFA">
      <w:pPr>
        <w:jc w:val="center"/>
        <w:rPr>
          <w:rFonts w:eastAsia="仿宋_GB2312"/>
          <w:sz w:val="84"/>
        </w:rPr>
      </w:pPr>
    </w:p>
    <w:p w14:paraId="20626627">
      <w:pPr>
        <w:jc w:val="right"/>
        <w:rPr>
          <w:rFonts w:ascii="黑体" w:eastAsia="黑体"/>
          <w:b/>
          <w:spacing w:val="40"/>
          <w:w w:val="66"/>
          <w:sz w:val="56"/>
          <w:szCs w:val="56"/>
        </w:rPr>
      </w:pPr>
      <w:r>
        <mc:AlternateContent>
          <mc:Choice Requires="wps">
            <w:drawing>
              <wp:anchor distT="0" distB="0" distL="114300" distR="114300" simplePos="0" relativeHeight="251662336" behindDoc="0" locked="0" layoutInCell="1" allowOverlap="1">
                <wp:simplePos x="0" y="0"/>
                <wp:positionH relativeFrom="column">
                  <wp:posOffset>83185</wp:posOffset>
                </wp:positionH>
                <wp:positionV relativeFrom="paragraph">
                  <wp:posOffset>292735</wp:posOffset>
                </wp:positionV>
                <wp:extent cx="922020" cy="0"/>
                <wp:effectExtent l="0" t="95250" r="11430" b="952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6.55pt;margin-top:23.05pt;height:0pt;width:72.6pt;z-index:251662336;mso-width-relative:page;mso-height-relative:page;" filled="f" stroked="t" coordsize="21600,21600" o:gfxdata="UEsDBAoAAAAAAIdO4kAAAAAAAAAAAAAAAAAEAAAAZHJzL1BLAwQUAAAACACHTuJAAHKAmdUAAAAI&#10;AQAADwAAAGRycy9kb3ducmV2LnhtbE2PMU/DQAyFdyT+w8lIbPSSlFZVmkslKrEAS1MY2Nycm0Tk&#10;fFHu2oZ/jysGmKzn9/T8udhMrldnGkPn2UA6S0AR19523Bh43z8/rECFiGyx90wGvinApry9KTC3&#10;/sI7OlexUVLCIUcDbYxDrnWoW3IYZn4gFu/oR4dR5NhoO+JFyl2vsyRZaocdy4UWB9q2VH9VJ2fg&#10;42nRZ59bPdUv+zfM7M5Vr8EZc3+XJmtQkab4F4YrvqBDKUwHf2IbVC96nkrSwONS5tVfrOagDr8L&#10;XRb6/wPlD1BLAwQUAAAACACHTuJALKlME+gBAACrAwAADgAAAGRycy9lMm9Eb2MueG1srVPNbhMx&#10;EL4j8Q6W72Q3UVrRVTaVmqhcCkRqeYCJ15u1sD2W7WSTl+AFkLjBiSP3vg3lMRg7P5Ry6YGLZXtm&#10;vvm+b+zJ5dZotpE+KLQ1Hw5KzqQV2Ci7qvmHu+tXrzkLEWwDGq2s+U4Gfjl9+WLSu0qOsEPdSM8I&#10;xIaqdzXvYnRVUQTRSQNhgE5aCrboDUQ6+lXReOgJ3ehiVJbnRY++cR6FDIFu5/sgPyD65wBi2yoh&#10;5yjWRtq4R/VSQyRJoVMu8Glm27ZSxPdtG2RkuuakNOaVmtB+mdZiOoFq5cF1ShwowHMoPNFkQFlq&#10;eoKaQwS29uofKKOEx4BtHAg0xV5IdoRUDMsn3tx24GTWQlYHdzI9/D9Y8W6z8Ew1NR9zZsHQwB8+&#10;//j56euv+y+0Pnz/xsbJpN6FinJnduGTTLG1t+4GxcfALM46sCuZyd7tHCEMU0XxV0k6BEetlv1b&#10;bCgH1hGzY9vWmwRJXrBtHszuNBi5jUzQ5cVoVI5oZOIYKqA61jkf4huJhqVNzbWyyTKoYHMTYuIB&#10;1TElXVu8VlrnsWvLeiJ7UZ6VZS4JqFWTwikx+NVypj3bAD2d8dX5xdVZlkWRx2ke17bZt9H2oDoJ&#10;3Vu2xGa38Ec3aIaZz+G9pUfy+Jyr//yx6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coCZ1QAA&#10;AAgBAAAPAAAAAAAAAAEAIAAAACIAAABkcnMvZG93bnJldi54bWxQSwECFAAUAAAACACHTuJALKlM&#10;E+gBAACrAwAADgAAAAAAAAABACAAAAAkAQAAZHJzL2Uyb0RvYy54bWxQSwUGAAAAAAYABgBZAQAA&#10;fgUAAAAA&#10;">
                <v:fill on="f" focussize="0,0"/>
                <v:stroke weight="15pt" color="#4B69B5" joinstyle="round"/>
                <v:imagedata o:title=""/>
                <o:lock v:ext="edit" aspectratio="f"/>
              </v:line>
            </w:pict>
          </mc:Fallback>
        </mc:AlternateContent>
      </w:r>
      <w:r>
        <w:rPr>
          <w:rFonts w:hint="eastAsia" w:ascii="黑体" w:eastAsia="黑体"/>
          <w:b/>
          <w:spacing w:val="40"/>
          <w:w w:val="66"/>
          <w:sz w:val="56"/>
          <w:szCs w:val="56"/>
        </w:rPr>
        <w:t xml:space="preserve">      天津市公共资源交易中心电子卖场运营服务项目</w:t>
      </w:r>
    </w:p>
    <w:p w14:paraId="5794B989">
      <w:pPr>
        <w:jc w:val="right"/>
        <w:rPr>
          <w:rFonts w:ascii="黑体" w:eastAsia="黑体"/>
          <w:b/>
          <w:spacing w:val="40"/>
          <w:w w:val="66"/>
          <w:sz w:val="60"/>
          <w:szCs w:val="60"/>
        </w:rPr>
      </w:pPr>
      <w: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287020</wp:posOffset>
                </wp:positionV>
                <wp:extent cx="2771775" cy="9525"/>
                <wp:effectExtent l="19050" t="95250" r="9525" b="1047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7pt;margin-top:22.6pt;height:0.75pt;width:218.25pt;z-index:251659264;mso-width-relative:page;mso-height-relative:page;" filled="f" stroked="t" coordsize="21600,21600" o:gfxdata="UEsDBAoAAAAAAIdO4kAAAAAAAAAAAAAAAAAEAAAAZHJzL1BLAwQUAAAACACHTuJAjgrgsNYAAAAI&#10;AQAADwAAAGRycy9kb3ducmV2LnhtbE2PwU7DMBBE70j8g7VI3KjdKCkojVOJSlyAS9Ny4LaN3STC&#10;Xkex24a/ZznBbUczmn1TbWbvxMVOcQikYblQICy1wQzUaTjsXx6eQMSEZNAFshq+bYRNfXtTYWnC&#10;lXb20qROcAnFEjX0KY2llLHtrce4CKMl9k5h8phYTp00E1653DuZKbWSHgfiDz2Odtvb9qs5ew0f&#10;z4XLPrdybl/375iZnW/eotf6/m6p1iCSndNfGH7xGR1qZjqGM5koHOucpyQNeZGBYD8vVAHiyMfq&#10;EWRdyf8D6h9QSwMEFAAAAAgAh07iQMf9OEztAQAArwMAAA4AAABkcnMvZTJvRG9jLnhtbK1TwW4T&#10;MRC9I/EPlu9kNylpyCqbSk1ULgUitf0Ax+vNWtgey3aym5/gB5C4wYkjd/6G8hkde5NAy6UHLpbt&#10;mXnz3ht7dtFpRXbCeQmmpMNBTokwHCppNiW9u7169YYSH5ipmAIjSroXnl7MX76YtbYQI2hAVcIR&#10;BDG+aG1JmxBskWWeN0IzPwArDAZrcJoFPLpNVjnWIrpW2SjPz7MWXGUdcOE93i77ID0guucAQl1L&#10;LpbAt1qY0KM6oVhASb6R1tN5YlvXgocPde1FIKqkqDSkFZvgfh3XbD5jxcYx20h+oMCeQ+GJJs2k&#10;waYnqCULjGyd/AdKS+7AQx0GHHTWC0mOoIph/sSbm4ZZkbSg1d6eTPf/D5a/360ckVVJzygxTOPA&#10;7z//+PXp6++fX3C9//6NnEWTWusLzF2YlYsyeWdu7DXwj54YWDTMbEQie7u3iDCMFdmjknjwFlut&#10;23dQYQ7bBkiOdbXTERK9IF0azP40GNEFwvFyNJkMJ5MxJRxj0/FonBqw4lhrnQ9vBWgSNyVV0kTb&#10;WMF21z5ELqw4psRrA1dSqTR6ZUiLhKf5OM9TiQclqxiOid5t1gvlyI7h83l9eT69PHZ+lOZga6q+&#10;jTIH5VFsb9saqv3KHR3BOSY+hzcXH8rf51T955/N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O&#10;CuCw1gAAAAgBAAAPAAAAAAAAAAEAIAAAACIAAABkcnMvZG93bnJldi54bWxQSwECFAAUAAAACACH&#10;TuJAx/04TO0BAACvAwAADgAAAAAAAAABACAAAAAlAQAAZHJzL2Uyb0RvYy54bWxQSwUGAAAAAAYA&#10;BgBZAQAAhAUAAAAA&#10;">
                <v:fill on="f" focussize="0,0"/>
                <v:stroke weight="15pt" color="#4B69B5" joinstyle="round"/>
                <v:imagedata o:title=""/>
                <o:lock v:ext="edit" aspectratio="f"/>
              </v:line>
            </w:pict>
          </mc:Fallback>
        </mc:AlternateContent>
      </w:r>
      <w:r>
        <w:rPr>
          <w:rFonts w:hint="eastAsia" w:ascii="黑体" w:eastAsia="黑体"/>
          <w:b/>
          <w:spacing w:val="40"/>
          <w:w w:val="66"/>
          <w:sz w:val="56"/>
          <w:szCs w:val="56"/>
        </w:rPr>
        <w:t>单一来源采购文件</w:t>
      </w:r>
    </w:p>
    <w:p w14:paraId="76D1A229">
      <w:pPr>
        <w:jc w:val="center"/>
        <w:rPr>
          <w:rFonts w:ascii="黑体" w:eastAsia="黑体"/>
          <w:b/>
          <w:spacing w:val="40"/>
          <w:w w:val="66"/>
          <w:sz w:val="36"/>
          <w:szCs w:val="36"/>
        </w:rPr>
      </w:pPr>
    </w:p>
    <w:p w14:paraId="31D2FE93">
      <w:pPr>
        <w:jc w:val="center"/>
        <w:rPr>
          <w:rFonts w:ascii="黑体" w:eastAsia="黑体"/>
          <w:b/>
          <w:spacing w:val="40"/>
          <w:w w:val="66"/>
          <w:sz w:val="36"/>
          <w:szCs w:val="36"/>
        </w:rPr>
      </w:pPr>
    </w:p>
    <w:p w14:paraId="133BE95E">
      <w:pPr>
        <w:jc w:val="center"/>
        <w:rPr>
          <w:rFonts w:ascii="黑体" w:eastAsia="黑体"/>
          <w:spacing w:val="40"/>
          <w:w w:val="66"/>
          <w:sz w:val="36"/>
          <w:szCs w:val="36"/>
        </w:rPr>
      </w:pPr>
      <w:r>
        <w:rPr>
          <w:rFonts w:eastAsia="黑体"/>
          <w:spacing w:val="40"/>
          <w:w w:val="66"/>
          <w:sz w:val="32"/>
          <w:szCs w:val="32"/>
        </w:rPr>
        <w:t>（项目编号：TGPC-202</w:t>
      </w:r>
      <w:r>
        <w:rPr>
          <w:rFonts w:hint="eastAsia" w:eastAsia="黑体"/>
          <w:spacing w:val="40"/>
          <w:w w:val="66"/>
          <w:sz w:val="32"/>
          <w:szCs w:val="32"/>
        </w:rPr>
        <w:t>6</w:t>
      </w:r>
      <w:r>
        <w:rPr>
          <w:rFonts w:eastAsia="黑体"/>
          <w:spacing w:val="40"/>
          <w:w w:val="66"/>
          <w:sz w:val="32"/>
          <w:szCs w:val="32"/>
        </w:rPr>
        <w:t>-</w:t>
      </w:r>
      <w:r>
        <w:rPr>
          <w:rFonts w:hint="eastAsia" w:eastAsia="黑体"/>
          <w:spacing w:val="40"/>
          <w:w w:val="66"/>
          <w:sz w:val="32"/>
          <w:szCs w:val="32"/>
        </w:rPr>
        <w:t>D</w:t>
      </w:r>
      <w:r>
        <w:rPr>
          <w:rFonts w:eastAsia="黑体"/>
          <w:spacing w:val="40"/>
          <w:w w:val="66"/>
          <w:sz w:val="32"/>
          <w:szCs w:val="32"/>
        </w:rPr>
        <w:t>-0185）</w:t>
      </w:r>
    </w:p>
    <w:p w14:paraId="58D8C9DC">
      <w:pPr>
        <w:rPr>
          <w:sz w:val="40"/>
        </w:rPr>
      </w:pPr>
    </w:p>
    <w:p w14:paraId="6E307F48">
      <w:pPr>
        <w:rPr>
          <w:sz w:val="40"/>
        </w:rPr>
      </w:pPr>
    </w:p>
    <w:p w14:paraId="42758BDF">
      <w:pPr>
        <w:rPr>
          <w:sz w:val="36"/>
        </w:rPr>
      </w:pPr>
    </w:p>
    <w:p w14:paraId="15198239">
      <w:pPr>
        <w:rPr>
          <w:sz w:val="36"/>
        </w:rPr>
      </w:pPr>
    </w:p>
    <w:p w14:paraId="17796332">
      <w:pPr>
        <w:rPr>
          <w:sz w:val="36"/>
        </w:rPr>
      </w:pPr>
    </w:p>
    <w:p w14:paraId="259C25C2">
      <w:pPr>
        <w:rPr>
          <w:rFonts w:eastAsia="仿宋_GB2312"/>
          <w:sz w:val="32"/>
        </w:rPr>
      </w:pPr>
    </w:p>
    <w:p w14:paraId="02F96256">
      <w:pPr>
        <w:rPr>
          <w:rFonts w:eastAsia="仿宋_GB2312"/>
          <w:sz w:val="32"/>
        </w:rPr>
      </w:pPr>
    </w:p>
    <w:p w14:paraId="41A5B503">
      <w:pPr>
        <w:rPr>
          <w:sz w:val="36"/>
        </w:rPr>
      </w:pPr>
    </w:p>
    <w:p w14:paraId="44428E03">
      <w:pPr>
        <w:rPr>
          <w:sz w:val="36"/>
        </w:rPr>
      </w:pPr>
    </w:p>
    <w:p w14:paraId="02443400">
      <w:pPr>
        <w:ind w:firstLine="2897" w:firstLineChars="1493"/>
        <w:rPr>
          <w:rFonts w:ascii="黑体" w:eastAsia="黑体"/>
          <w:spacing w:val="20"/>
          <w:w w:val="66"/>
          <w:sz w:val="44"/>
          <w:szCs w:val="44"/>
        </w:rPr>
      </w:pPr>
      <w:bookmarkStart w:id="4" w:name="_GoBack"/>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bookmarkEnd w:id="4"/>
      <w:r>
        <w:rPr>
          <w:rFonts w:hint="eastAsia" w:ascii="黑体" w:eastAsia="黑体"/>
          <w:spacing w:val="20"/>
          <w:w w:val="66"/>
          <w:sz w:val="44"/>
          <w:szCs w:val="44"/>
        </w:rPr>
        <w:t>天津市政府采购中心</w:t>
      </w:r>
    </w:p>
    <w:p w14:paraId="0712E0B8">
      <w:pPr>
        <w:tabs>
          <w:tab w:val="left" w:pos="3281"/>
          <w:tab w:val="center" w:pos="4711"/>
        </w:tabs>
        <w:jc w:val="center"/>
        <w:rPr>
          <w:rFonts w:ascii="仿宋_GB2312"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rPr>
        <w:t>3</w:t>
      </w:r>
    </w:p>
    <w:p w14:paraId="0913A3FD">
      <w:pPr>
        <w:tabs>
          <w:tab w:val="left" w:pos="3281"/>
          <w:tab w:val="center" w:pos="4711"/>
        </w:tabs>
        <w:jc w:val="center"/>
        <w:rPr>
          <w:rFonts w:eastAsia="仿宋_GB2312"/>
          <w:b/>
          <w:bCs/>
          <w:kern w:val="0"/>
          <w:sz w:val="44"/>
          <w:szCs w:val="44"/>
        </w:rPr>
      </w:pPr>
    </w:p>
    <w:p w14:paraId="4B39756F">
      <w:pPr>
        <w:widowControl/>
        <w:jc w:val="left"/>
        <w:rPr>
          <w:rFonts w:eastAsia="仿宋_GB2312"/>
          <w:b/>
          <w:bCs/>
          <w:kern w:val="0"/>
          <w:sz w:val="44"/>
          <w:szCs w:val="44"/>
        </w:rPr>
        <w:sectPr>
          <w:headerReference r:id="rId3" w:type="default"/>
          <w:pgSz w:w="11906" w:h="16838"/>
          <w:pgMar w:top="1440" w:right="1797" w:bottom="1440" w:left="1797" w:header="851" w:footer="992" w:gutter="0"/>
          <w:cols w:space="425" w:num="1"/>
          <w:docGrid w:type="linesAndChars" w:linePitch="285" w:charSpace="-3449"/>
        </w:sectPr>
      </w:pPr>
    </w:p>
    <w:p w14:paraId="2271AE92">
      <w:pPr>
        <w:spacing w:line="360" w:lineRule="auto"/>
        <w:jc w:val="center"/>
        <w:rPr>
          <w:b/>
          <w:sz w:val="24"/>
        </w:rPr>
      </w:pPr>
      <w:r>
        <w:rPr>
          <w:rFonts w:hint="eastAsia"/>
          <w:b/>
          <w:sz w:val="24"/>
        </w:rPr>
        <w:t>邀请函</w:t>
      </w:r>
    </w:p>
    <w:p w14:paraId="765613AA">
      <w:pPr>
        <w:spacing w:line="360" w:lineRule="auto"/>
        <w:ind w:firstLine="480" w:firstLineChars="200"/>
        <w:rPr>
          <w:sz w:val="24"/>
          <w:szCs w:val="24"/>
        </w:rPr>
      </w:pPr>
      <w:r>
        <w:rPr>
          <w:rFonts w:hint="eastAsia"/>
          <w:sz w:val="24"/>
          <w:szCs w:val="24"/>
        </w:rPr>
        <w:t>受天津市公共资源交易中心委托，天津市政府采购中心对天津市公共资源交易中心电子卖场运营服务项目实施政府采购，现邀请博思</w:t>
      </w:r>
      <w:r>
        <w:rPr>
          <w:sz w:val="24"/>
          <w:szCs w:val="24"/>
        </w:rPr>
        <w:t>数采科技股份有限公司</w:t>
      </w:r>
      <w:r>
        <w:rPr>
          <w:rFonts w:hint="eastAsia"/>
          <w:sz w:val="24"/>
          <w:szCs w:val="24"/>
        </w:rPr>
        <w:t>参与谈判。</w:t>
      </w:r>
    </w:p>
    <w:p w14:paraId="0D30543B">
      <w:pPr>
        <w:spacing w:line="360" w:lineRule="auto"/>
        <w:ind w:firstLine="480" w:firstLineChars="200"/>
        <w:rPr>
          <w:sz w:val="24"/>
          <w:szCs w:val="24"/>
        </w:rPr>
      </w:pPr>
      <w:r>
        <w:rPr>
          <w:rFonts w:hint="eastAsia"/>
          <w:sz w:val="24"/>
          <w:szCs w:val="24"/>
        </w:rPr>
        <w:t>本项目为远程电子采购，一律不接受纸质响应文件，只接受加盖供应商电子签章的电子响应文件（以通过天津公共资源电子签章客户端正确读取签章信息为准）。供应商参加谈判前须办理CA数字证书（USBKEY）和电子签章。供应商须按单一来源采购文件的规定在天津市政府采购中心“网上招投标”系统中提交网上应答并上传加盖供应商电子签章的电子响应文件（以通过天津公共资源电子签章客户端正确读取签章信息为准）。</w:t>
      </w:r>
    </w:p>
    <w:p w14:paraId="27450E24">
      <w:pPr>
        <w:spacing w:line="360" w:lineRule="auto"/>
        <w:jc w:val="center"/>
        <w:rPr>
          <w:sz w:val="24"/>
        </w:rPr>
      </w:pPr>
      <w:r>
        <w:rPr>
          <w:rFonts w:hint="eastAsia"/>
          <w:sz w:val="24"/>
        </w:rPr>
        <w:t>A．供应商须知</w:t>
      </w:r>
    </w:p>
    <w:p w14:paraId="75B4B66F">
      <w:pPr>
        <w:pStyle w:val="69"/>
        <w:spacing w:line="360" w:lineRule="auto"/>
        <w:ind w:firstLine="480" w:firstLineChars="200"/>
        <w:jc w:val="both"/>
        <w:rPr>
          <w:color w:val="auto"/>
        </w:rPr>
      </w:pPr>
      <w:r>
        <w:rPr>
          <w:color w:val="auto"/>
        </w:rPr>
        <w:t>一、基本概况</w:t>
      </w:r>
    </w:p>
    <w:p w14:paraId="72338F1E">
      <w:pPr>
        <w:pStyle w:val="69"/>
        <w:spacing w:line="360" w:lineRule="auto"/>
        <w:ind w:firstLine="480" w:firstLineChars="200"/>
        <w:jc w:val="both"/>
        <w:rPr>
          <w:color w:val="auto"/>
        </w:rPr>
      </w:pPr>
      <w:r>
        <w:rPr>
          <w:color w:val="auto"/>
        </w:rPr>
        <w:t>（一）项目名称：</w:t>
      </w:r>
      <w:r>
        <w:rPr>
          <w:rFonts w:hint="eastAsia"/>
          <w:color w:val="auto"/>
        </w:rPr>
        <w:t>天津市公共资源交易中心</w:t>
      </w:r>
      <w:bookmarkStart w:id="0" w:name="OLE_LINK1"/>
      <w:bookmarkStart w:id="1" w:name="OLE_LINK2"/>
      <w:r>
        <w:rPr>
          <w:rFonts w:hint="eastAsia"/>
          <w:color w:val="auto"/>
        </w:rPr>
        <w:t>电子卖场运营服务</w:t>
      </w:r>
      <w:bookmarkEnd w:id="0"/>
      <w:bookmarkEnd w:id="1"/>
      <w:r>
        <w:rPr>
          <w:rFonts w:hint="eastAsia"/>
          <w:color w:val="auto"/>
        </w:rPr>
        <w:t>项目</w:t>
      </w:r>
    </w:p>
    <w:p w14:paraId="01C96C71">
      <w:pPr>
        <w:pStyle w:val="69"/>
        <w:spacing w:line="360" w:lineRule="auto"/>
        <w:ind w:firstLine="480" w:firstLineChars="200"/>
        <w:jc w:val="both"/>
        <w:rPr>
          <w:color w:val="auto"/>
        </w:rPr>
      </w:pPr>
      <w:r>
        <w:rPr>
          <w:color w:val="auto"/>
        </w:rPr>
        <w:t>（二）项目编号：TGPC-2026-D-0185</w:t>
      </w:r>
    </w:p>
    <w:p w14:paraId="1DC7B23E">
      <w:pPr>
        <w:pStyle w:val="69"/>
        <w:spacing w:line="360" w:lineRule="auto"/>
        <w:ind w:firstLine="480" w:firstLineChars="200"/>
        <w:jc w:val="both"/>
        <w:rPr>
          <w:color w:val="auto"/>
        </w:rPr>
      </w:pPr>
      <w:r>
        <w:rPr>
          <w:color w:val="auto"/>
        </w:rPr>
        <w:t>（三）采购方式：</w:t>
      </w:r>
      <w:r>
        <w:rPr>
          <w:rFonts w:hint="eastAsia"/>
          <w:color w:val="auto"/>
        </w:rPr>
        <w:t>单一来源</w:t>
      </w:r>
    </w:p>
    <w:p w14:paraId="05BF6317">
      <w:pPr>
        <w:pStyle w:val="69"/>
        <w:spacing w:line="360" w:lineRule="auto"/>
        <w:ind w:firstLine="480" w:firstLineChars="200"/>
        <w:jc w:val="both"/>
        <w:rPr>
          <w:color w:val="auto"/>
        </w:rPr>
      </w:pPr>
      <w:r>
        <w:rPr>
          <w:color w:val="auto"/>
        </w:rPr>
        <w:t>（四）项目属性：服务</w:t>
      </w:r>
    </w:p>
    <w:p w14:paraId="4B1CAD07">
      <w:pPr>
        <w:pStyle w:val="69"/>
        <w:spacing w:line="360" w:lineRule="auto"/>
        <w:ind w:firstLine="480" w:firstLineChars="200"/>
        <w:jc w:val="both"/>
        <w:rPr>
          <w:color w:val="auto"/>
        </w:rPr>
      </w:pPr>
      <w:r>
        <w:rPr>
          <w:color w:val="auto"/>
        </w:rPr>
        <w:t>（五）本项目不接受联合体参与。不接受联合体参与的，若有供应商组成联合体参与，视为无效响应。</w:t>
      </w:r>
    </w:p>
    <w:p w14:paraId="41983482">
      <w:pPr>
        <w:pStyle w:val="69"/>
        <w:spacing w:line="360" w:lineRule="auto"/>
        <w:ind w:firstLine="480" w:firstLineChars="200"/>
        <w:jc w:val="both"/>
        <w:rPr>
          <w:color w:val="auto"/>
        </w:rPr>
      </w:pPr>
      <w:r>
        <w:rPr>
          <w:color w:val="auto"/>
        </w:rPr>
        <w:t>（六）本文件售价：免费。</w:t>
      </w:r>
    </w:p>
    <w:p w14:paraId="7F20291D">
      <w:pPr>
        <w:pStyle w:val="69"/>
        <w:spacing w:line="360" w:lineRule="auto"/>
        <w:ind w:firstLine="480" w:firstLineChars="200"/>
        <w:jc w:val="both"/>
        <w:rPr>
          <w:color w:val="auto"/>
          <w:kern w:val="2"/>
        </w:rPr>
      </w:pPr>
      <w:r>
        <w:rPr>
          <w:color w:val="auto"/>
          <w:kern w:val="2"/>
        </w:rPr>
        <w:t>二、项目内容</w:t>
      </w:r>
    </w:p>
    <w:tbl>
      <w:tblPr>
        <w:tblStyle w:val="35"/>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525"/>
        <w:gridCol w:w="1168"/>
        <w:gridCol w:w="1304"/>
        <w:gridCol w:w="1735"/>
        <w:gridCol w:w="1389"/>
      </w:tblGrid>
      <w:tr w14:paraId="393E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AEFDC0">
            <w:pPr>
              <w:pStyle w:val="69"/>
              <w:jc w:val="center"/>
              <w:rPr>
                <w:color w:val="auto"/>
                <w:sz w:val="21"/>
                <w:szCs w:val="21"/>
              </w:rPr>
            </w:pPr>
            <w:r>
              <w:rPr>
                <w:color w:val="auto"/>
                <w:sz w:val="21"/>
                <w:szCs w:val="21"/>
              </w:rPr>
              <w:t>包号</w:t>
            </w:r>
          </w:p>
        </w:tc>
        <w:tc>
          <w:tcPr>
            <w:tcW w:w="1525" w:type="dxa"/>
            <w:vAlign w:val="center"/>
          </w:tcPr>
          <w:p w14:paraId="6B5E6479">
            <w:pPr>
              <w:pStyle w:val="69"/>
              <w:jc w:val="center"/>
              <w:rPr>
                <w:color w:val="auto"/>
                <w:sz w:val="21"/>
                <w:szCs w:val="21"/>
              </w:rPr>
            </w:pPr>
            <w:r>
              <w:rPr>
                <w:color w:val="auto"/>
                <w:sz w:val="21"/>
                <w:szCs w:val="21"/>
              </w:rPr>
              <w:t>包名称</w:t>
            </w:r>
          </w:p>
        </w:tc>
        <w:tc>
          <w:tcPr>
            <w:tcW w:w="1168" w:type="dxa"/>
            <w:vAlign w:val="center"/>
          </w:tcPr>
          <w:p w14:paraId="70956BA3">
            <w:pPr>
              <w:pStyle w:val="69"/>
              <w:jc w:val="center"/>
              <w:rPr>
                <w:color w:val="auto"/>
                <w:sz w:val="21"/>
                <w:szCs w:val="21"/>
              </w:rPr>
            </w:pPr>
            <w:r>
              <w:rPr>
                <w:color w:val="auto"/>
                <w:sz w:val="21"/>
                <w:szCs w:val="21"/>
              </w:rPr>
              <w:t>包预算</w:t>
            </w:r>
          </w:p>
        </w:tc>
        <w:tc>
          <w:tcPr>
            <w:tcW w:w="1304" w:type="dxa"/>
            <w:vAlign w:val="center"/>
          </w:tcPr>
          <w:p w14:paraId="2EC5A27C">
            <w:pPr>
              <w:pStyle w:val="69"/>
              <w:jc w:val="center"/>
              <w:rPr>
                <w:color w:val="auto"/>
                <w:sz w:val="21"/>
                <w:szCs w:val="21"/>
              </w:rPr>
            </w:pPr>
            <w:r>
              <w:rPr>
                <w:color w:val="auto"/>
                <w:sz w:val="21"/>
                <w:szCs w:val="21"/>
              </w:rPr>
              <w:t>包最高限价</w:t>
            </w:r>
          </w:p>
        </w:tc>
        <w:tc>
          <w:tcPr>
            <w:tcW w:w="1735" w:type="dxa"/>
            <w:vAlign w:val="center"/>
          </w:tcPr>
          <w:p w14:paraId="1DC7F99E">
            <w:pPr>
              <w:pStyle w:val="69"/>
              <w:jc w:val="center"/>
              <w:rPr>
                <w:color w:val="auto"/>
                <w:sz w:val="21"/>
                <w:szCs w:val="21"/>
              </w:rPr>
            </w:pPr>
            <w:r>
              <w:rPr>
                <w:color w:val="auto"/>
                <w:sz w:val="21"/>
                <w:szCs w:val="21"/>
              </w:rPr>
              <w:t>合同履行期限</w:t>
            </w:r>
          </w:p>
        </w:tc>
        <w:tc>
          <w:tcPr>
            <w:tcW w:w="1389" w:type="dxa"/>
            <w:vAlign w:val="center"/>
          </w:tcPr>
          <w:p w14:paraId="65FF6F43">
            <w:pPr>
              <w:pStyle w:val="69"/>
              <w:jc w:val="center"/>
              <w:rPr>
                <w:color w:val="auto"/>
                <w:sz w:val="21"/>
                <w:szCs w:val="21"/>
              </w:rPr>
            </w:pPr>
            <w:r>
              <w:rPr>
                <w:color w:val="auto"/>
                <w:sz w:val="21"/>
                <w:szCs w:val="21"/>
              </w:rPr>
              <w:t>所属行业</w:t>
            </w:r>
          </w:p>
        </w:tc>
      </w:tr>
      <w:tr w14:paraId="2BA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E11D7D">
            <w:pPr>
              <w:pStyle w:val="69"/>
              <w:jc w:val="center"/>
              <w:rPr>
                <w:color w:val="auto"/>
                <w:sz w:val="21"/>
                <w:szCs w:val="21"/>
              </w:rPr>
            </w:pPr>
            <w:r>
              <w:rPr>
                <w:color w:val="auto"/>
                <w:sz w:val="21"/>
                <w:szCs w:val="21"/>
              </w:rPr>
              <w:t>1</w:t>
            </w:r>
          </w:p>
        </w:tc>
        <w:tc>
          <w:tcPr>
            <w:tcW w:w="1525" w:type="dxa"/>
            <w:vAlign w:val="center"/>
          </w:tcPr>
          <w:p w14:paraId="626D1ADF">
            <w:pPr>
              <w:pStyle w:val="69"/>
              <w:jc w:val="center"/>
              <w:rPr>
                <w:color w:val="auto"/>
                <w:sz w:val="21"/>
                <w:szCs w:val="21"/>
              </w:rPr>
            </w:pPr>
            <w:r>
              <w:rPr>
                <w:rFonts w:hint="eastAsia"/>
                <w:color w:val="auto"/>
                <w:sz w:val="21"/>
                <w:szCs w:val="21"/>
              </w:rPr>
              <w:t>电子卖场运营服务</w:t>
            </w:r>
          </w:p>
        </w:tc>
        <w:tc>
          <w:tcPr>
            <w:tcW w:w="1168" w:type="dxa"/>
            <w:vAlign w:val="center"/>
          </w:tcPr>
          <w:p w14:paraId="1668B3C2">
            <w:pPr>
              <w:pStyle w:val="69"/>
              <w:jc w:val="center"/>
              <w:rPr>
                <w:color w:val="auto"/>
                <w:sz w:val="21"/>
                <w:szCs w:val="21"/>
              </w:rPr>
            </w:pPr>
            <w:r>
              <w:rPr>
                <w:color w:val="auto"/>
                <w:sz w:val="21"/>
                <w:szCs w:val="21"/>
              </w:rPr>
              <w:t>1150000元</w:t>
            </w:r>
          </w:p>
        </w:tc>
        <w:tc>
          <w:tcPr>
            <w:tcW w:w="1304" w:type="dxa"/>
            <w:vAlign w:val="center"/>
          </w:tcPr>
          <w:p w14:paraId="389ED079">
            <w:pPr>
              <w:pStyle w:val="69"/>
              <w:jc w:val="center"/>
              <w:rPr>
                <w:color w:val="auto"/>
                <w:sz w:val="21"/>
                <w:szCs w:val="21"/>
              </w:rPr>
            </w:pPr>
            <w:r>
              <w:rPr>
                <w:color w:val="auto"/>
                <w:sz w:val="21"/>
                <w:szCs w:val="21"/>
              </w:rPr>
              <w:t>1150000元</w:t>
            </w:r>
          </w:p>
        </w:tc>
        <w:tc>
          <w:tcPr>
            <w:tcW w:w="1735" w:type="dxa"/>
            <w:vAlign w:val="center"/>
          </w:tcPr>
          <w:p w14:paraId="0D19F8D6">
            <w:pPr>
              <w:pStyle w:val="69"/>
              <w:jc w:val="center"/>
              <w:rPr>
                <w:color w:val="auto"/>
                <w:sz w:val="21"/>
                <w:szCs w:val="21"/>
              </w:rPr>
            </w:pPr>
            <w:r>
              <w:rPr>
                <w:rFonts w:hint="eastAsia"/>
                <w:color w:val="auto"/>
                <w:sz w:val="21"/>
                <w:szCs w:val="21"/>
              </w:rPr>
              <w:t>合同签订之日起1年的运营期</w:t>
            </w:r>
          </w:p>
        </w:tc>
        <w:tc>
          <w:tcPr>
            <w:tcW w:w="1389" w:type="dxa"/>
            <w:vAlign w:val="center"/>
          </w:tcPr>
          <w:p w14:paraId="2876B785">
            <w:pPr>
              <w:pStyle w:val="69"/>
              <w:jc w:val="center"/>
              <w:rPr>
                <w:color w:val="auto"/>
                <w:sz w:val="21"/>
                <w:szCs w:val="21"/>
              </w:rPr>
            </w:pPr>
            <w:r>
              <w:rPr>
                <w:color w:val="auto"/>
                <w:sz w:val="21"/>
                <w:szCs w:val="21"/>
              </w:rPr>
              <w:t>软件与信息技术服务业</w:t>
            </w:r>
          </w:p>
        </w:tc>
      </w:tr>
    </w:tbl>
    <w:p w14:paraId="6AC74557">
      <w:pPr>
        <w:spacing w:line="360" w:lineRule="auto"/>
        <w:ind w:firstLine="480" w:firstLineChars="200"/>
        <w:rPr>
          <w:sz w:val="24"/>
        </w:rPr>
      </w:pPr>
      <w:r>
        <w:rPr>
          <w:rFonts w:hint="eastAsia"/>
          <w:sz w:val="24"/>
        </w:rPr>
        <w:t>三、供应商资格要求（实质性要求）</w:t>
      </w:r>
    </w:p>
    <w:p w14:paraId="2A5C0B72">
      <w:pPr>
        <w:pStyle w:val="69"/>
        <w:spacing w:line="360" w:lineRule="auto"/>
        <w:ind w:firstLine="480" w:firstLineChars="200"/>
        <w:rPr>
          <w:color w:val="auto"/>
        </w:rPr>
      </w:pPr>
      <w:r>
        <w:rPr>
          <w:rFonts w:hint="eastAsia"/>
          <w:color w:val="auto"/>
        </w:rPr>
        <w:t>（一）供应商应具备《中华人民共和国政府采购法》第二十二条第一款和《政府采购法实施条例》第十八条规定的条件，</w:t>
      </w:r>
      <w:r>
        <w:rPr>
          <w:color w:val="auto"/>
        </w:rPr>
        <w:t>提供以下材料：</w:t>
      </w:r>
    </w:p>
    <w:p w14:paraId="22446126">
      <w:pPr>
        <w:pStyle w:val="69"/>
        <w:spacing w:line="360" w:lineRule="auto"/>
        <w:ind w:firstLine="480" w:firstLineChars="200"/>
        <w:rPr>
          <w:color w:val="auto"/>
        </w:rPr>
      </w:pPr>
      <w:r>
        <w:rPr>
          <w:rFonts w:hint="eastAsia"/>
          <w:color w:val="auto"/>
        </w:rPr>
        <w:t>1. 营业执照副本或事业单位法人证书或民办非企业单位登记证书或社会团体法人登记证书或基金会法人登记证书扫描件或自然人的身份证明扫描件。</w:t>
      </w:r>
    </w:p>
    <w:p w14:paraId="7342E13F">
      <w:pPr>
        <w:pStyle w:val="69"/>
        <w:spacing w:line="360" w:lineRule="auto"/>
        <w:ind w:firstLine="480" w:firstLineChars="200"/>
        <w:rPr>
          <w:color w:val="auto"/>
        </w:rPr>
      </w:pPr>
      <w:r>
        <w:rPr>
          <w:rFonts w:hint="eastAsia"/>
          <w:color w:val="auto"/>
        </w:rPr>
        <w:t>2. 提供《供应商资格声明函》（格式见附件2）。</w:t>
      </w:r>
    </w:p>
    <w:p w14:paraId="4D9A5B3D">
      <w:pPr>
        <w:spacing w:line="360" w:lineRule="auto"/>
        <w:ind w:firstLine="480" w:firstLineChars="200"/>
        <w:rPr>
          <w:sz w:val="24"/>
        </w:rPr>
      </w:pPr>
      <w:r>
        <w:rPr>
          <w:rFonts w:hint="eastAsia"/>
          <w:sz w:val="24"/>
        </w:rPr>
        <w:t>四、项目需要落实的政府采购政策</w:t>
      </w:r>
    </w:p>
    <w:p w14:paraId="1D82E230">
      <w:pPr>
        <w:pStyle w:val="69"/>
        <w:spacing w:line="360" w:lineRule="auto"/>
        <w:ind w:firstLine="480" w:firstLineChars="200"/>
        <w:rPr>
          <w:color w:val="auto"/>
        </w:rPr>
      </w:pPr>
      <w:r>
        <w:rPr>
          <w:color w:val="auto"/>
        </w:rPr>
        <w:t>（一）</w:t>
      </w:r>
      <w:r>
        <w:rPr>
          <w:rFonts w:hint="eastAsia"/>
          <w:color w:val="auto"/>
        </w:rPr>
        <w:t>本项目</w:t>
      </w:r>
      <w:r>
        <w:rPr>
          <w:color w:val="auto"/>
        </w:rPr>
        <w:t>对小微企业</w:t>
      </w:r>
      <w:r>
        <w:rPr>
          <w:rFonts w:hint="eastAsia"/>
          <w:color w:val="auto"/>
        </w:rPr>
        <w:t>报价</w:t>
      </w:r>
      <w:r>
        <w:rPr>
          <w:color w:val="auto"/>
        </w:rPr>
        <w:t>给予</w:t>
      </w:r>
      <w:r>
        <w:rPr>
          <w:rFonts w:hint="eastAsia"/>
          <w:color w:val="auto"/>
        </w:rPr>
        <w:t>20</w:t>
      </w:r>
      <w:r>
        <w:rPr>
          <w:color w:val="auto"/>
        </w:rPr>
        <w:t>%的扣除。</w:t>
      </w:r>
    </w:p>
    <w:p w14:paraId="12C9A665">
      <w:pPr>
        <w:pStyle w:val="69"/>
        <w:spacing w:line="360" w:lineRule="auto"/>
        <w:ind w:firstLine="480" w:firstLineChars="200"/>
        <w:rPr>
          <w:color w:val="auto"/>
        </w:rPr>
      </w:pPr>
      <w:r>
        <w:rPr>
          <w:color w:val="auto"/>
        </w:rPr>
        <w:t>（二）根据财政部发布的《关于政府采购支持监狱企业发展有关问题的通知》规定，</w:t>
      </w:r>
      <w:r>
        <w:rPr>
          <w:rFonts w:ascii="Arial" w:hAnsi="Arial" w:cs="Arial"/>
          <w:color w:val="auto"/>
        </w:rPr>
        <w:t>监狱企业视同小微企业</w:t>
      </w:r>
      <w:r>
        <w:rPr>
          <w:color w:val="auto"/>
        </w:rPr>
        <w:t>。</w:t>
      </w:r>
    </w:p>
    <w:p w14:paraId="7AA8D10E">
      <w:pPr>
        <w:pStyle w:val="69"/>
        <w:spacing w:line="360" w:lineRule="auto"/>
        <w:ind w:firstLine="480" w:firstLineChars="200"/>
        <w:rPr>
          <w:color w:val="auto"/>
        </w:rPr>
      </w:pPr>
      <w:r>
        <w:rPr>
          <w:rFonts w:hint="eastAsia"/>
          <w:color w:val="auto"/>
        </w:rPr>
        <w:t>（三）根据财政部、民政部、中国残疾人联合会发布的《关于促进残疾人就业政府采购政策的通知》规定，残疾人福利性单位视同小微企业。</w:t>
      </w:r>
    </w:p>
    <w:p w14:paraId="24F2529F">
      <w:pPr>
        <w:pStyle w:val="69"/>
        <w:spacing w:line="360" w:lineRule="auto"/>
        <w:ind w:firstLine="480" w:firstLineChars="200"/>
        <w:jc w:val="both"/>
        <w:rPr>
          <w:color w:val="auto"/>
        </w:rPr>
      </w:pPr>
      <w:r>
        <w:rPr>
          <w:rFonts w:hint="eastAsia"/>
          <w:color w:val="auto"/>
        </w:rPr>
        <w:t>注：中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以上政策不重复享受。</w:t>
      </w:r>
    </w:p>
    <w:p w14:paraId="7947CC52">
      <w:pPr>
        <w:pStyle w:val="69"/>
        <w:spacing w:line="360" w:lineRule="auto"/>
        <w:ind w:firstLine="480" w:firstLineChars="200"/>
        <w:rPr>
          <w:color w:val="auto"/>
        </w:rPr>
      </w:pPr>
      <w:r>
        <w:rPr>
          <w:rFonts w:hint="eastAsia"/>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7F2ABD59">
      <w:pPr>
        <w:pStyle w:val="69"/>
        <w:spacing w:line="360" w:lineRule="auto"/>
        <w:ind w:firstLine="480" w:firstLineChars="200"/>
        <w:rPr>
          <w:color w:val="auto"/>
        </w:rPr>
      </w:pPr>
      <w:r>
        <w:rPr>
          <w:rFonts w:hint="eastAsia"/>
          <w:color w:val="auto"/>
        </w:rPr>
        <w:t>（五）按照《财政部关于在政府采购活动中查询及使用信用记录有关问题的通知》（财库〔2016〕125号）的要求，根据谈判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1CC55329">
      <w:pPr>
        <w:pStyle w:val="69"/>
        <w:spacing w:line="360" w:lineRule="auto"/>
        <w:ind w:firstLine="480" w:firstLineChars="200"/>
        <w:rPr>
          <w:color w:val="auto"/>
        </w:rPr>
      </w:pPr>
      <w:r>
        <w:rPr>
          <w:color w:val="auto"/>
        </w:rPr>
        <w:t>五、参与本项目的步骤、时间与方式</w:t>
      </w:r>
    </w:p>
    <w:p w14:paraId="0E897AF8">
      <w:pPr>
        <w:pStyle w:val="69"/>
        <w:spacing w:line="360" w:lineRule="auto"/>
        <w:ind w:firstLine="480" w:firstLineChars="200"/>
        <w:rPr>
          <w:color w:val="auto"/>
        </w:rPr>
      </w:pPr>
      <w:r>
        <w:rPr>
          <w:color w:val="auto"/>
        </w:rPr>
        <w:t>（一）参与本项目的时间要求</w:t>
      </w:r>
    </w:p>
    <w:tbl>
      <w:tblPr>
        <w:tblStyle w:val="3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2127"/>
        <w:gridCol w:w="2127"/>
        <w:gridCol w:w="2632"/>
      </w:tblGrid>
      <w:tr w14:paraId="001F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000AB528">
            <w:pPr>
              <w:pStyle w:val="69"/>
              <w:snapToGrid w:val="0"/>
              <w:jc w:val="center"/>
              <w:rPr>
                <w:color w:val="auto"/>
                <w:sz w:val="21"/>
                <w:szCs w:val="21"/>
              </w:rPr>
            </w:pPr>
            <w:r>
              <w:rPr>
                <w:color w:val="auto"/>
                <w:sz w:val="21"/>
                <w:szCs w:val="21"/>
              </w:rPr>
              <w:t>序号</w:t>
            </w:r>
          </w:p>
        </w:tc>
        <w:tc>
          <w:tcPr>
            <w:tcW w:w="1941" w:type="dxa"/>
            <w:vAlign w:val="center"/>
          </w:tcPr>
          <w:p w14:paraId="683ABDE8">
            <w:pPr>
              <w:pStyle w:val="69"/>
              <w:snapToGrid w:val="0"/>
              <w:jc w:val="center"/>
              <w:rPr>
                <w:color w:val="auto"/>
                <w:sz w:val="21"/>
                <w:szCs w:val="21"/>
              </w:rPr>
            </w:pPr>
            <w:r>
              <w:rPr>
                <w:color w:val="auto"/>
                <w:sz w:val="21"/>
                <w:szCs w:val="21"/>
              </w:rPr>
              <w:t>步骤名称</w:t>
            </w:r>
          </w:p>
        </w:tc>
        <w:tc>
          <w:tcPr>
            <w:tcW w:w="2127" w:type="dxa"/>
            <w:vAlign w:val="center"/>
          </w:tcPr>
          <w:p w14:paraId="32EE5CD6">
            <w:pPr>
              <w:pStyle w:val="69"/>
              <w:snapToGrid w:val="0"/>
              <w:jc w:val="center"/>
              <w:rPr>
                <w:color w:val="auto"/>
                <w:sz w:val="21"/>
                <w:szCs w:val="21"/>
              </w:rPr>
            </w:pPr>
            <w:r>
              <w:rPr>
                <w:color w:val="auto"/>
                <w:sz w:val="21"/>
                <w:szCs w:val="21"/>
              </w:rPr>
              <w:t>开始时间</w:t>
            </w:r>
          </w:p>
        </w:tc>
        <w:tc>
          <w:tcPr>
            <w:tcW w:w="2127" w:type="dxa"/>
            <w:vAlign w:val="center"/>
          </w:tcPr>
          <w:p w14:paraId="71A24716">
            <w:pPr>
              <w:pStyle w:val="69"/>
              <w:snapToGrid w:val="0"/>
              <w:jc w:val="center"/>
              <w:rPr>
                <w:color w:val="auto"/>
                <w:sz w:val="21"/>
                <w:szCs w:val="21"/>
              </w:rPr>
            </w:pPr>
            <w:r>
              <w:rPr>
                <w:color w:val="auto"/>
                <w:sz w:val="21"/>
                <w:szCs w:val="21"/>
              </w:rPr>
              <w:t>截止时间</w:t>
            </w:r>
          </w:p>
        </w:tc>
        <w:tc>
          <w:tcPr>
            <w:tcW w:w="2632" w:type="dxa"/>
            <w:vAlign w:val="center"/>
          </w:tcPr>
          <w:p w14:paraId="68CBE3F7">
            <w:pPr>
              <w:pStyle w:val="69"/>
              <w:snapToGrid w:val="0"/>
              <w:jc w:val="center"/>
              <w:rPr>
                <w:color w:val="auto"/>
                <w:sz w:val="21"/>
                <w:szCs w:val="21"/>
              </w:rPr>
            </w:pPr>
            <w:r>
              <w:rPr>
                <w:color w:val="auto"/>
                <w:sz w:val="21"/>
                <w:szCs w:val="21"/>
              </w:rPr>
              <w:t>备注</w:t>
            </w:r>
          </w:p>
        </w:tc>
      </w:tr>
      <w:tr w14:paraId="2F8F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3835AAFC">
            <w:pPr>
              <w:pStyle w:val="69"/>
              <w:snapToGrid w:val="0"/>
              <w:jc w:val="center"/>
              <w:rPr>
                <w:color w:val="auto"/>
                <w:sz w:val="21"/>
                <w:szCs w:val="21"/>
              </w:rPr>
            </w:pPr>
            <w:r>
              <w:rPr>
                <w:color w:val="auto"/>
                <w:sz w:val="21"/>
                <w:szCs w:val="21"/>
              </w:rPr>
              <w:t>1</w:t>
            </w:r>
          </w:p>
        </w:tc>
        <w:tc>
          <w:tcPr>
            <w:tcW w:w="1941" w:type="dxa"/>
            <w:vAlign w:val="center"/>
          </w:tcPr>
          <w:p w14:paraId="3BCBEF18">
            <w:pPr>
              <w:pStyle w:val="69"/>
              <w:snapToGrid w:val="0"/>
              <w:jc w:val="center"/>
              <w:rPr>
                <w:color w:val="auto"/>
                <w:sz w:val="21"/>
                <w:szCs w:val="21"/>
              </w:rPr>
            </w:pPr>
            <w:r>
              <w:rPr>
                <w:color w:val="auto"/>
                <w:sz w:val="21"/>
                <w:szCs w:val="21"/>
              </w:rPr>
              <w:t>获取单一来源采购文件</w:t>
            </w:r>
          </w:p>
        </w:tc>
        <w:tc>
          <w:tcPr>
            <w:tcW w:w="2127" w:type="dxa"/>
            <w:vAlign w:val="center"/>
          </w:tcPr>
          <w:p w14:paraId="58A9309E">
            <w:pPr>
              <w:pStyle w:val="69"/>
              <w:snapToGrid w:val="0"/>
              <w:jc w:val="center"/>
              <w:rPr>
                <w:color w:val="auto"/>
                <w:sz w:val="21"/>
                <w:szCs w:val="21"/>
              </w:rPr>
            </w:pPr>
            <w:r>
              <w:rPr>
                <w:color w:val="auto"/>
                <w:sz w:val="21"/>
                <w:szCs w:val="21"/>
              </w:rPr>
              <w:t>2026年</w:t>
            </w:r>
            <w:r>
              <w:rPr>
                <w:rFonts w:hint="eastAsia"/>
                <w:color w:val="auto"/>
                <w:sz w:val="21"/>
                <w:szCs w:val="21"/>
              </w:rPr>
              <w:t>3</w:t>
            </w:r>
            <w:r>
              <w:rPr>
                <w:color w:val="auto"/>
                <w:sz w:val="21"/>
                <w:szCs w:val="21"/>
              </w:rPr>
              <w:t>月</w:t>
            </w:r>
            <w:r>
              <w:rPr>
                <w:rFonts w:hint="eastAsia"/>
                <w:color w:val="auto"/>
                <w:sz w:val="21"/>
                <w:szCs w:val="21"/>
              </w:rPr>
              <w:t>20</w:t>
            </w:r>
            <w:r>
              <w:rPr>
                <w:color w:val="auto"/>
                <w:sz w:val="21"/>
                <w:szCs w:val="21"/>
              </w:rPr>
              <w:t>日</w:t>
            </w:r>
          </w:p>
        </w:tc>
        <w:tc>
          <w:tcPr>
            <w:tcW w:w="2127" w:type="dxa"/>
            <w:vAlign w:val="center"/>
          </w:tcPr>
          <w:p w14:paraId="096C3058">
            <w:pPr>
              <w:pStyle w:val="69"/>
              <w:snapToGrid w:val="0"/>
              <w:jc w:val="center"/>
              <w:rPr>
                <w:color w:val="auto"/>
                <w:sz w:val="21"/>
                <w:szCs w:val="21"/>
              </w:rPr>
            </w:pPr>
            <w:r>
              <w:rPr>
                <w:color w:val="auto"/>
                <w:sz w:val="21"/>
                <w:szCs w:val="21"/>
              </w:rPr>
              <w:t>2026年</w:t>
            </w:r>
            <w:r>
              <w:rPr>
                <w:rFonts w:hint="eastAsia"/>
                <w:color w:val="auto"/>
                <w:sz w:val="21"/>
                <w:szCs w:val="21"/>
              </w:rPr>
              <w:t>3</w:t>
            </w:r>
            <w:r>
              <w:rPr>
                <w:color w:val="auto"/>
                <w:sz w:val="21"/>
                <w:szCs w:val="21"/>
              </w:rPr>
              <w:t>月</w:t>
            </w:r>
            <w:r>
              <w:rPr>
                <w:rFonts w:hint="eastAsia"/>
                <w:color w:val="auto"/>
                <w:sz w:val="21"/>
                <w:szCs w:val="21"/>
              </w:rPr>
              <w:t>23</w:t>
            </w:r>
            <w:r>
              <w:rPr>
                <w:color w:val="auto"/>
                <w:sz w:val="21"/>
                <w:szCs w:val="21"/>
              </w:rPr>
              <w:t>日</w:t>
            </w:r>
          </w:p>
        </w:tc>
        <w:tc>
          <w:tcPr>
            <w:tcW w:w="2632" w:type="dxa"/>
            <w:vAlign w:val="center"/>
          </w:tcPr>
          <w:p w14:paraId="046E8553">
            <w:pPr>
              <w:pStyle w:val="69"/>
              <w:snapToGrid w:val="0"/>
              <w:jc w:val="both"/>
              <w:rPr>
                <w:color w:val="auto"/>
                <w:sz w:val="21"/>
                <w:szCs w:val="21"/>
              </w:rPr>
            </w:pPr>
            <w:r>
              <w:rPr>
                <w:color w:val="auto"/>
                <w:sz w:val="21"/>
                <w:szCs w:val="21"/>
              </w:rPr>
              <w:t>每日9:00至17:00（北京时间，法定节假日除外）。</w:t>
            </w:r>
          </w:p>
          <w:p w14:paraId="6250B658">
            <w:pPr>
              <w:pStyle w:val="69"/>
              <w:snapToGrid w:val="0"/>
              <w:jc w:val="both"/>
              <w:rPr>
                <w:color w:val="auto"/>
                <w:sz w:val="21"/>
                <w:szCs w:val="21"/>
              </w:rPr>
            </w:pPr>
            <w:r>
              <w:rPr>
                <w:color w:val="auto"/>
                <w:sz w:val="21"/>
                <w:szCs w:val="21"/>
              </w:rPr>
              <w:t>未按时获取单一来源采购文件的，不能参与本项目</w:t>
            </w:r>
          </w:p>
        </w:tc>
      </w:tr>
      <w:tr w14:paraId="397F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804A321">
            <w:pPr>
              <w:pStyle w:val="69"/>
              <w:snapToGrid w:val="0"/>
              <w:jc w:val="center"/>
              <w:rPr>
                <w:color w:val="auto"/>
                <w:sz w:val="21"/>
                <w:szCs w:val="21"/>
              </w:rPr>
            </w:pPr>
            <w:r>
              <w:rPr>
                <w:color w:val="auto"/>
                <w:sz w:val="21"/>
                <w:szCs w:val="21"/>
              </w:rPr>
              <w:t>2</w:t>
            </w:r>
          </w:p>
        </w:tc>
        <w:tc>
          <w:tcPr>
            <w:tcW w:w="1941" w:type="dxa"/>
            <w:vAlign w:val="center"/>
          </w:tcPr>
          <w:p w14:paraId="00EF75EC">
            <w:pPr>
              <w:pStyle w:val="69"/>
              <w:snapToGrid w:val="0"/>
              <w:jc w:val="center"/>
              <w:rPr>
                <w:color w:val="auto"/>
                <w:sz w:val="21"/>
                <w:szCs w:val="21"/>
              </w:rPr>
            </w:pPr>
            <w:r>
              <w:rPr>
                <w:color w:val="auto"/>
                <w:sz w:val="21"/>
                <w:szCs w:val="21"/>
              </w:rPr>
              <w:t>网上应答（上传电子响应文件）</w:t>
            </w:r>
          </w:p>
        </w:tc>
        <w:tc>
          <w:tcPr>
            <w:tcW w:w="2127" w:type="dxa"/>
            <w:vAlign w:val="center"/>
          </w:tcPr>
          <w:p w14:paraId="7D45779C">
            <w:pPr>
              <w:pStyle w:val="69"/>
              <w:snapToGrid w:val="0"/>
              <w:jc w:val="center"/>
              <w:rPr>
                <w:color w:val="auto"/>
                <w:sz w:val="21"/>
                <w:szCs w:val="21"/>
              </w:rPr>
            </w:pPr>
            <w:r>
              <w:rPr>
                <w:color w:val="auto"/>
                <w:sz w:val="21"/>
                <w:szCs w:val="21"/>
              </w:rPr>
              <w:t>2026年</w:t>
            </w:r>
            <w:r>
              <w:rPr>
                <w:rFonts w:hint="eastAsia"/>
                <w:color w:val="auto"/>
                <w:sz w:val="21"/>
                <w:szCs w:val="21"/>
              </w:rPr>
              <w:t>3</w:t>
            </w:r>
            <w:r>
              <w:rPr>
                <w:color w:val="auto"/>
                <w:sz w:val="21"/>
                <w:szCs w:val="21"/>
              </w:rPr>
              <w:t>月</w:t>
            </w:r>
            <w:r>
              <w:rPr>
                <w:rFonts w:hint="eastAsia"/>
                <w:color w:val="auto"/>
                <w:sz w:val="21"/>
                <w:szCs w:val="21"/>
              </w:rPr>
              <w:t>20</w:t>
            </w:r>
            <w:r>
              <w:rPr>
                <w:color w:val="auto"/>
                <w:sz w:val="21"/>
                <w:szCs w:val="21"/>
              </w:rPr>
              <w:t>日</w:t>
            </w:r>
            <w:r>
              <w:rPr>
                <w:rFonts w:hint="eastAsia"/>
                <w:color w:val="auto"/>
                <w:sz w:val="21"/>
                <w:szCs w:val="21"/>
              </w:rPr>
              <w:t>9</w:t>
            </w:r>
            <w:r>
              <w:rPr>
                <w:color w:val="auto"/>
                <w:sz w:val="21"/>
                <w:szCs w:val="21"/>
              </w:rPr>
              <w:t>:00</w:t>
            </w:r>
          </w:p>
        </w:tc>
        <w:tc>
          <w:tcPr>
            <w:tcW w:w="2127" w:type="dxa"/>
            <w:vAlign w:val="center"/>
          </w:tcPr>
          <w:p w14:paraId="63B3364E">
            <w:pPr>
              <w:pStyle w:val="69"/>
              <w:snapToGrid w:val="0"/>
              <w:jc w:val="center"/>
              <w:rPr>
                <w:color w:val="auto"/>
                <w:sz w:val="21"/>
                <w:szCs w:val="21"/>
              </w:rPr>
            </w:pPr>
            <w:r>
              <w:rPr>
                <w:color w:val="auto"/>
                <w:sz w:val="21"/>
                <w:szCs w:val="21"/>
              </w:rPr>
              <w:t>2026年</w:t>
            </w:r>
            <w:r>
              <w:rPr>
                <w:rFonts w:hint="eastAsia"/>
                <w:color w:val="auto"/>
                <w:sz w:val="21"/>
                <w:szCs w:val="21"/>
              </w:rPr>
              <w:t>3</w:t>
            </w:r>
            <w:r>
              <w:rPr>
                <w:color w:val="auto"/>
                <w:sz w:val="21"/>
                <w:szCs w:val="21"/>
              </w:rPr>
              <w:t>月</w:t>
            </w:r>
            <w:r>
              <w:rPr>
                <w:rFonts w:hint="eastAsia"/>
                <w:color w:val="auto"/>
                <w:sz w:val="21"/>
                <w:szCs w:val="21"/>
              </w:rPr>
              <w:t>24</w:t>
            </w:r>
            <w:r>
              <w:rPr>
                <w:color w:val="auto"/>
                <w:sz w:val="21"/>
                <w:szCs w:val="21"/>
              </w:rPr>
              <w:t>日</w:t>
            </w:r>
            <w:r>
              <w:rPr>
                <w:rFonts w:hint="eastAsia"/>
                <w:color w:val="auto"/>
                <w:sz w:val="21"/>
                <w:szCs w:val="21"/>
              </w:rPr>
              <w:t>13</w:t>
            </w:r>
            <w:r>
              <w:rPr>
                <w:color w:val="auto"/>
                <w:sz w:val="21"/>
                <w:szCs w:val="21"/>
              </w:rPr>
              <w:t>:</w:t>
            </w:r>
            <w:r>
              <w:rPr>
                <w:rFonts w:hint="eastAsia"/>
                <w:color w:val="auto"/>
                <w:sz w:val="21"/>
                <w:szCs w:val="21"/>
              </w:rPr>
              <w:t>0</w:t>
            </w:r>
            <w:r>
              <w:rPr>
                <w:color w:val="auto"/>
                <w:sz w:val="21"/>
                <w:szCs w:val="21"/>
              </w:rPr>
              <w:t>0</w:t>
            </w:r>
          </w:p>
        </w:tc>
        <w:tc>
          <w:tcPr>
            <w:tcW w:w="2632" w:type="dxa"/>
            <w:vAlign w:val="center"/>
          </w:tcPr>
          <w:p w14:paraId="059F1028">
            <w:pPr>
              <w:pStyle w:val="69"/>
              <w:snapToGrid w:val="0"/>
              <w:jc w:val="both"/>
              <w:rPr>
                <w:color w:val="auto"/>
                <w:sz w:val="21"/>
                <w:szCs w:val="21"/>
              </w:rPr>
            </w:pPr>
            <w:r>
              <w:rPr>
                <w:color w:val="auto"/>
                <w:sz w:val="21"/>
                <w:szCs w:val="21"/>
              </w:rPr>
              <w:t>未按时完成网上应答或未按时上传电子响应文件的，视为无效响应。</w:t>
            </w:r>
          </w:p>
        </w:tc>
      </w:tr>
      <w:tr w14:paraId="4F42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Align w:val="center"/>
          </w:tcPr>
          <w:p w14:paraId="465E551D">
            <w:pPr>
              <w:pStyle w:val="69"/>
              <w:snapToGrid w:val="0"/>
              <w:jc w:val="center"/>
              <w:rPr>
                <w:color w:val="auto"/>
                <w:sz w:val="21"/>
                <w:szCs w:val="21"/>
              </w:rPr>
            </w:pPr>
            <w:r>
              <w:rPr>
                <w:color w:val="auto"/>
                <w:sz w:val="21"/>
                <w:szCs w:val="21"/>
              </w:rPr>
              <w:t>3</w:t>
            </w:r>
          </w:p>
        </w:tc>
        <w:tc>
          <w:tcPr>
            <w:tcW w:w="1941" w:type="dxa"/>
            <w:vAlign w:val="center"/>
          </w:tcPr>
          <w:p w14:paraId="015B8459">
            <w:pPr>
              <w:pStyle w:val="69"/>
              <w:snapToGrid w:val="0"/>
              <w:jc w:val="center"/>
              <w:rPr>
                <w:color w:val="auto"/>
                <w:sz w:val="21"/>
                <w:szCs w:val="21"/>
              </w:rPr>
            </w:pPr>
            <w:r>
              <w:rPr>
                <w:color w:val="auto"/>
                <w:sz w:val="21"/>
                <w:szCs w:val="21"/>
              </w:rPr>
              <w:t>解密</w:t>
            </w:r>
          </w:p>
        </w:tc>
        <w:tc>
          <w:tcPr>
            <w:tcW w:w="2127" w:type="dxa"/>
            <w:vAlign w:val="center"/>
          </w:tcPr>
          <w:p w14:paraId="3B3B1CCB">
            <w:pPr>
              <w:pStyle w:val="69"/>
              <w:snapToGrid w:val="0"/>
              <w:jc w:val="center"/>
              <w:rPr>
                <w:color w:val="auto"/>
                <w:sz w:val="21"/>
                <w:szCs w:val="21"/>
              </w:rPr>
            </w:pPr>
            <w:r>
              <w:rPr>
                <w:color w:val="auto"/>
                <w:sz w:val="21"/>
                <w:szCs w:val="21"/>
              </w:rPr>
              <w:t>2026年</w:t>
            </w:r>
            <w:r>
              <w:rPr>
                <w:rFonts w:hint="eastAsia"/>
                <w:color w:val="auto"/>
                <w:sz w:val="21"/>
                <w:szCs w:val="21"/>
              </w:rPr>
              <w:t>3</w:t>
            </w:r>
            <w:r>
              <w:rPr>
                <w:color w:val="auto"/>
                <w:sz w:val="21"/>
                <w:szCs w:val="21"/>
              </w:rPr>
              <w:t>月</w:t>
            </w:r>
            <w:r>
              <w:rPr>
                <w:rFonts w:hint="eastAsia"/>
                <w:color w:val="auto"/>
                <w:sz w:val="21"/>
                <w:szCs w:val="21"/>
              </w:rPr>
              <w:t>24</w:t>
            </w:r>
            <w:r>
              <w:rPr>
                <w:color w:val="auto"/>
                <w:sz w:val="21"/>
                <w:szCs w:val="21"/>
              </w:rPr>
              <w:t>日</w:t>
            </w:r>
            <w:r>
              <w:rPr>
                <w:rFonts w:hint="eastAsia"/>
                <w:color w:val="auto"/>
                <w:sz w:val="21"/>
                <w:szCs w:val="21"/>
              </w:rPr>
              <w:t>13</w:t>
            </w:r>
            <w:r>
              <w:rPr>
                <w:color w:val="auto"/>
                <w:sz w:val="21"/>
                <w:szCs w:val="21"/>
              </w:rPr>
              <w:t>:</w:t>
            </w:r>
            <w:r>
              <w:rPr>
                <w:rFonts w:hint="eastAsia"/>
                <w:color w:val="auto"/>
                <w:sz w:val="21"/>
                <w:szCs w:val="21"/>
              </w:rPr>
              <w:t>0</w:t>
            </w:r>
            <w:r>
              <w:rPr>
                <w:color w:val="auto"/>
                <w:sz w:val="21"/>
                <w:szCs w:val="21"/>
              </w:rPr>
              <w:t>0</w:t>
            </w:r>
          </w:p>
        </w:tc>
        <w:tc>
          <w:tcPr>
            <w:tcW w:w="2127" w:type="dxa"/>
            <w:vAlign w:val="center"/>
          </w:tcPr>
          <w:p w14:paraId="5B395E56">
            <w:pPr>
              <w:pStyle w:val="69"/>
              <w:snapToGrid w:val="0"/>
              <w:jc w:val="center"/>
              <w:rPr>
                <w:color w:val="auto"/>
                <w:sz w:val="21"/>
                <w:szCs w:val="21"/>
              </w:rPr>
            </w:pPr>
            <w:r>
              <w:rPr>
                <w:color w:val="auto"/>
                <w:sz w:val="21"/>
                <w:szCs w:val="21"/>
              </w:rPr>
              <w:t>2026年</w:t>
            </w:r>
            <w:r>
              <w:rPr>
                <w:rFonts w:hint="eastAsia"/>
                <w:color w:val="auto"/>
                <w:sz w:val="21"/>
                <w:szCs w:val="21"/>
              </w:rPr>
              <w:t>3</w:t>
            </w:r>
            <w:r>
              <w:rPr>
                <w:color w:val="auto"/>
                <w:sz w:val="21"/>
                <w:szCs w:val="21"/>
              </w:rPr>
              <w:t>月</w:t>
            </w:r>
            <w:r>
              <w:rPr>
                <w:rFonts w:hint="eastAsia"/>
                <w:color w:val="auto"/>
                <w:sz w:val="21"/>
                <w:szCs w:val="21"/>
              </w:rPr>
              <w:t>24</w:t>
            </w:r>
            <w:r>
              <w:rPr>
                <w:color w:val="auto"/>
                <w:sz w:val="21"/>
                <w:szCs w:val="21"/>
              </w:rPr>
              <w:t>日</w:t>
            </w:r>
            <w:r>
              <w:rPr>
                <w:rFonts w:hint="eastAsia"/>
                <w:color w:val="auto"/>
                <w:sz w:val="21"/>
                <w:szCs w:val="21"/>
              </w:rPr>
              <w:t>14</w:t>
            </w:r>
            <w:r>
              <w:rPr>
                <w:color w:val="auto"/>
                <w:sz w:val="21"/>
                <w:szCs w:val="21"/>
              </w:rPr>
              <w:t>:</w:t>
            </w:r>
            <w:r>
              <w:rPr>
                <w:rFonts w:hint="eastAsia"/>
                <w:color w:val="auto"/>
                <w:sz w:val="21"/>
                <w:szCs w:val="21"/>
              </w:rPr>
              <w:t>0</w:t>
            </w:r>
            <w:r>
              <w:rPr>
                <w:color w:val="auto"/>
                <w:sz w:val="21"/>
                <w:szCs w:val="21"/>
              </w:rPr>
              <w:t>0</w:t>
            </w:r>
          </w:p>
        </w:tc>
        <w:tc>
          <w:tcPr>
            <w:tcW w:w="2632" w:type="dxa"/>
            <w:vAlign w:val="center"/>
          </w:tcPr>
          <w:p w14:paraId="041EA0EA">
            <w:pPr>
              <w:pStyle w:val="69"/>
              <w:snapToGrid w:val="0"/>
              <w:jc w:val="both"/>
              <w:rPr>
                <w:color w:val="auto"/>
                <w:sz w:val="21"/>
                <w:szCs w:val="21"/>
              </w:rPr>
            </w:pPr>
            <w:r>
              <w:rPr>
                <w:color w:val="auto"/>
                <w:sz w:val="21"/>
                <w:szCs w:val="21"/>
              </w:rPr>
              <w:t>未按时完成解密的，视为无效响应。</w:t>
            </w:r>
          </w:p>
        </w:tc>
      </w:tr>
    </w:tbl>
    <w:p w14:paraId="2D9055B2">
      <w:pPr>
        <w:pStyle w:val="69"/>
        <w:adjustRightInd/>
        <w:spacing w:line="360" w:lineRule="auto"/>
        <w:ind w:firstLine="480" w:firstLineChars="200"/>
        <w:rPr>
          <w:color w:val="auto"/>
        </w:rPr>
      </w:pPr>
      <w:r>
        <w:rPr>
          <w:color w:val="auto"/>
        </w:rPr>
        <w:t>（二）参与本项目的方式要求</w:t>
      </w:r>
    </w:p>
    <w:p w14:paraId="08598437">
      <w:pPr>
        <w:pStyle w:val="69"/>
        <w:adjustRightInd/>
        <w:spacing w:line="360" w:lineRule="auto"/>
        <w:ind w:firstLine="480" w:firstLineChars="200"/>
        <w:jc w:val="both"/>
        <w:rPr>
          <w:color w:val="auto"/>
        </w:rPr>
      </w:pPr>
      <w:r>
        <w:rPr>
          <w:color w:val="auto"/>
        </w:rPr>
        <w:t>1. 供应商注册、CA数字证书（USBKey）领取、电子签章办理办法：</w:t>
      </w:r>
    </w:p>
    <w:p w14:paraId="0C2C46FD">
      <w:pPr>
        <w:pStyle w:val="69"/>
        <w:adjustRightInd/>
        <w:spacing w:line="360" w:lineRule="auto"/>
        <w:ind w:firstLine="480" w:firstLineChars="200"/>
        <w:jc w:val="both"/>
        <w:rPr>
          <w:color w:val="auto"/>
        </w:rPr>
      </w:pPr>
      <w:r>
        <w:rPr>
          <w:color w:val="auto"/>
        </w:rPr>
        <w:t>天津市政府采购中心网注册：登录天津市政府采购中心网（http://tjgpc.zwfwb.tj.gov.cn）首页点击“用户注册维护”，填写相关内容。天津市政府采购中心注册窗口联系电话：022-24538167。</w:t>
      </w:r>
    </w:p>
    <w:p w14:paraId="37E7F733">
      <w:pPr>
        <w:pStyle w:val="69"/>
        <w:adjustRightInd/>
        <w:spacing w:line="360" w:lineRule="auto"/>
        <w:ind w:firstLine="480" w:firstLineChars="200"/>
        <w:jc w:val="both"/>
        <w:rPr>
          <w:color w:val="auto"/>
        </w:rPr>
      </w:pPr>
      <w:r>
        <w:rPr>
          <w:color w:val="auto"/>
        </w:rPr>
        <w:t>CA数字证书（USBKey）领取及电子签章办理：参见天津市政府采购中心网（http://tjgpc.zwfwb.tj.gov.cn）--服务指南--供应商注册、领取CA数字证书（USBKey）及电子签章制章的流程。</w:t>
      </w:r>
    </w:p>
    <w:p w14:paraId="7FB38CA5">
      <w:pPr>
        <w:pStyle w:val="69"/>
        <w:adjustRightInd/>
        <w:spacing w:line="360" w:lineRule="auto"/>
        <w:ind w:firstLine="480" w:firstLineChars="200"/>
        <w:jc w:val="both"/>
        <w:rPr>
          <w:color w:val="auto"/>
        </w:rPr>
      </w:pPr>
      <w:r>
        <w:rPr>
          <w:color w:val="auto"/>
        </w:rPr>
        <w:t>CA数字证书办理联系电话：400-0566-110或022-24538059。</w:t>
      </w:r>
    </w:p>
    <w:p w14:paraId="2AA80904">
      <w:pPr>
        <w:pStyle w:val="69"/>
        <w:adjustRightInd/>
        <w:spacing w:line="360" w:lineRule="auto"/>
        <w:ind w:firstLine="480" w:firstLineChars="200"/>
        <w:jc w:val="both"/>
        <w:rPr>
          <w:color w:val="auto"/>
        </w:rPr>
      </w:pPr>
      <w:r>
        <w:rPr>
          <w:color w:val="auto"/>
        </w:rPr>
        <w:t>电子签章办理联系电话：022-24538059。</w:t>
      </w:r>
    </w:p>
    <w:p w14:paraId="0D6F1826">
      <w:pPr>
        <w:pStyle w:val="69"/>
        <w:adjustRightInd/>
        <w:spacing w:line="360" w:lineRule="auto"/>
        <w:ind w:firstLine="480" w:firstLineChars="200"/>
        <w:jc w:val="both"/>
        <w:rPr>
          <w:color w:val="auto"/>
        </w:rPr>
      </w:pPr>
      <w:r>
        <w:rPr>
          <w:color w:val="auto"/>
        </w:rPr>
        <w:t>2. 获取单一来源采购文件的方式</w:t>
      </w:r>
    </w:p>
    <w:p w14:paraId="5C7B4F9D">
      <w:pPr>
        <w:pStyle w:val="69"/>
        <w:adjustRightInd/>
        <w:spacing w:line="360" w:lineRule="auto"/>
        <w:ind w:firstLine="480" w:firstLineChars="200"/>
        <w:jc w:val="both"/>
        <w:rPr>
          <w:color w:val="auto"/>
        </w:rPr>
      </w:pPr>
      <w:r>
        <w:rPr>
          <w:color w:val="auto"/>
        </w:rPr>
        <w:t>采用网上获取电子单一来源采购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40"/>
        </w:rPr>
        <w:t>http://tjgpc.zwfwb.tj.gov.cn</w:t>
      </w:r>
      <w:r>
        <w:rPr>
          <w:rStyle w:val="40"/>
        </w:rPr>
        <w:fldChar w:fldCharType="end"/>
      </w:r>
      <w:r>
        <w:rPr>
          <w:color w:val="auto"/>
        </w:rPr>
        <w:t>）-”网上招投标”-“供应商登录”-“市级集采机构入口”下载单一来源采购文件。</w:t>
      </w:r>
    </w:p>
    <w:p w14:paraId="79F73655">
      <w:pPr>
        <w:pStyle w:val="69"/>
        <w:adjustRightInd/>
        <w:spacing w:line="360" w:lineRule="auto"/>
        <w:ind w:firstLine="480" w:firstLineChars="200"/>
        <w:jc w:val="both"/>
        <w:rPr>
          <w:color w:val="auto"/>
        </w:rPr>
      </w:pPr>
      <w:r>
        <w:rPr>
          <w:color w:val="auto"/>
        </w:rPr>
        <w:t>3. 网上应答（上传电子响应文件）方式</w:t>
      </w:r>
    </w:p>
    <w:p w14:paraId="57456458">
      <w:pPr>
        <w:pStyle w:val="69"/>
        <w:adjustRightInd/>
        <w:spacing w:line="360" w:lineRule="auto"/>
        <w:ind w:firstLine="480" w:firstLineChars="200"/>
        <w:jc w:val="both"/>
        <w:rPr>
          <w:color w:val="auto"/>
        </w:rPr>
      </w:pPr>
      <w:r>
        <w:rPr>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电子响应文件（以通过天津公共资源电子签章客户端正确读取签章信息为准），否则视为无效响应。</w:t>
      </w:r>
    </w:p>
    <w:p w14:paraId="1A71AD3F">
      <w:pPr>
        <w:pStyle w:val="69"/>
        <w:adjustRightInd/>
        <w:spacing w:line="360" w:lineRule="auto"/>
        <w:ind w:firstLine="480" w:firstLineChars="200"/>
        <w:rPr>
          <w:color w:val="auto"/>
        </w:rPr>
      </w:pPr>
      <w:r>
        <w:rPr>
          <w:color w:val="auto"/>
        </w:rPr>
        <w:t>网上应答帮助链接：http://tjgpc.zwfwb.tj.gov.cn/webInfo/getWebInfoListForwebInfoClass.do?fkWebInfoclassId=W008</w:t>
      </w:r>
    </w:p>
    <w:p w14:paraId="642C5CA6">
      <w:pPr>
        <w:pStyle w:val="69"/>
        <w:adjustRightInd/>
        <w:spacing w:line="360" w:lineRule="auto"/>
        <w:ind w:firstLine="480" w:firstLineChars="200"/>
        <w:rPr>
          <w:color w:val="auto"/>
        </w:rPr>
      </w:pPr>
      <w:r>
        <w:rPr>
          <w:color w:val="auto"/>
        </w:rPr>
        <w:t>4. 解密方式</w:t>
      </w:r>
    </w:p>
    <w:p w14:paraId="04BB995D">
      <w:pPr>
        <w:pStyle w:val="69"/>
        <w:adjustRightInd/>
        <w:spacing w:line="360" w:lineRule="auto"/>
        <w:ind w:firstLine="480" w:firstLineChars="200"/>
        <w:jc w:val="both"/>
        <w:rPr>
          <w:color w:val="auto"/>
        </w:rPr>
      </w:pPr>
      <w:r>
        <w:rPr>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116EBB57">
      <w:pPr>
        <w:pStyle w:val="69"/>
        <w:spacing w:line="360" w:lineRule="auto"/>
        <w:ind w:firstLine="480" w:firstLineChars="200"/>
        <w:jc w:val="both"/>
        <w:rPr>
          <w:color w:val="auto"/>
        </w:rPr>
      </w:pPr>
      <w:r>
        <w:rPr>
          <w:color w:val="auto"/>
        </w:rPr>
        <w:t>六、现场考察、标前答疑会</w:t>
      </w:r>
    </w:p>
    <w:p w14:paraId="7DCFBCBE">
      <w:pPr>
        <w:pStyle w:val="69"/>
        <w:spacing w:line="360" w:lineRule="auto"/>
        <w:ind w:firstLine="480" w:firstLineChars="200"/>
        <w:jc w:val="both"/>
        <w:rPr>
          <w:color w:val="auto"/>
        </w:rPr>
      </w:pPr>
      <w:r>
        <w:rPr>
          <w:color w:val="auto"/>
        </w:rPr>
        <w:t>本项目不组织现场考察、不组织标前答疑会。</w:t>
      </w:r>
    </w:p>
    <w:p w14:paraId="124ABC12">
      <w:pPr>
        <w:pStyle w:val="69"/>
        <w:spacing w:line="360" w:lineRule="auto"/>
        <w:ind w:firstLine="480" w:firstLineChars="200"/>
        <w:jc w:val="both"/>
        <w:rPr>
          <w:color w:val="auto"/>
        </w:rPr>
      </w:pPr>
      <w:r>
        <w:rPr>
          <w:color w:val="auto"/>
        </w:rPr>
        <w:t>七、采购代理机构信息</w:t>
      </w:r>
    </w:p>
    <w:p w14:paraId="34778CC7">
      <w:pPr>
        <w:pStyle w:val="69"/>
        <w:spacing w:line="360" w:lineRule="auto"/>
        <w:ind w:firstLine="480" w:firstLineChars="200"/>
        <w:jc w:val="both"/>
        <w:rPr>
          <w:color w:val="auto"/>
        </w:rPr>
      </w:pPr>
      <w:r>
        <w:rPr>
          <w:color w:val="auto"/>
        </w:rPr>
        <w:t>（一）采购代理机构名称：天津市政府采购中心</w:t>
      </w:r>
    </w:p>
    <w:p w14:paraId="1C412F0A">
      <w:pPr>
        <w:pStyle w:val="69"/>
        <w:spacing w:line="360" w:lineRule="auto"/>
        <w:ind w:firstLine="480" w:firstLineChars="200"/>
        <w:jc w:val="both"/>
        <w:rPr>
          <w:color w:val="auto"/>
        </w:rPr>
      </w:pPr>
      <w:r>
        <w:rPr>
          <w:color w:val="auto"/>
        </w:rPr>
        <w:t>（二）采购代理机构地址：天津市河东区红星路79号二楼（邮编：300161）</w:t>
      </w:r>
    </w:p>
    <w:p w14:paraId="028207FA">
      <w:pPr>
        <w:pStyle w:val="69"/>
        <w:spacing w:line="360" w:lineRule="auto"/>
        <w:ind w:firstLine="480" w:firstLineChars="200"/>
        <w:jc w:val="both"/>
        <w:rPr>
          <w:color w:val="auto"/>
        </w:rPr>
      </w:pPr>
      <w:r>
        <w:rPr>
          <w:color w:val="auto"/>
        </w:rPr>
        <w:t>（三）联系人：</w:t>
      </w:r>
      <w:r>
        <w:rPr>
          <w:rFonts w:hint="eastAsia"/>
          <w:color w:val="auto"/>
        </w:rPr>
        <w:t>李楠</w:t>
      </w:r>
    </w:p>
    <w:p w14:paraId="1E08AE90">
      <w:pPr>
        <w:pStyle w:val="69"/>
        <w:spacing w:line="360" w:lineRule="auto"/>
        <w:ind w:firstLine="480" w:firstLineChars="200"/>
        <w:jc w:val="both"/>
        <w:rPr>
          <w:color w:val="auto"/>
        </w:rPr>
      </w:pPr>
      <w:r>
        <w:rPr>
          <w:color w:val="auto"/>
        </w:rPr>
        <w:t>（四）网址：http://tjgpc.zwfwb.tj.gov.cn</w:t>
      </w:r>
    </w:p>
    <w:p w14:paraId="166CE48D">
      <w:pPr>
        <w:pStyle w:val="69"/>
        <w:spacing w:line="360" w:lineRule="auto"/>
        <w:ind w:firstLine="480" w:firstLineChars="200"/>
        <w:jc w:val="both"/>
        <w:rPr>
          <w:color w:val="auto"/>
        </w:rPr>
      </w:pPr>
      <w:r>
        <w:rPr>
          <w:color w:val="auto"/>
        </w:rPr>
        <w:t>（五）对外办公时间：法定工作日9:00～12:00，14:00～17:00</w:t>
      </w:r>
    </w:p>
    <w:p w14:paraId="7E0330D0">
      <w:pPr>
        <w:pStyle w:val="69"/>
        <w:spacing w:line="360" w:lineRule="auto"/>
        <w:ind w:firstLine="480" w:firstLineChars="200"/>
        <w:jc w:val="both"/>
        <w:rPr>
          <w:color w:val="auto"/>
        </w:rPr>
      </w:pPr>
      <w:r>
        <w:rPr>
          <w:color w:val="auto"/>
        </w:rPr>
        <w:t>（六）咨询服务电话：</w:t>
      </w:r>
    </w:p>
    <w:p w14:paraId="4BE1D3ED">
      <w:pPr>
        <w:pStyle w:val="69"/>
        <w:spacing w:line="360" w:lineRule="auto"/>
        <w:ind w:firstLine="480" w:firstLineChars="200"/>
        <w:jc w:val="both"/>
        <w:rPr>
          <w:color w:val="auto"/>
        </w:rPr>
      </w:pPr>
      <w:r>
        <w:rPr>
          <w:color w:val="auto"/>
        </w:rPr>
        <w:t>1. 供应商注册咨询：022-24538167</w:t>
      </w:r>
    </w:p>
    <w:p w14:paraId="028181DB">
      <w:pPr>
        <w:pStyle w:val="69"/>
        <w:spacing w:line="360" w:lineRule="auto"/>
        <w:ind w:firstLine="480" w:firstLineChars="200"/>
        <w:jc w:val="both"/>
        <w:rPr>
          <w:color w:val="auto"/>
        </w:rPr>
      </w:pPr>
      <w:r>
        <w:rPr>
          <w:color w:val="auto"/>
        </w:rPr>
        <w:t>2. CA证书和电子签章办理咨询：022-24538059</w:t>
      </w:r>
    </w:p>
    <w:p w14:paraId="76EEAC8E">
      <w:pPr>
        <w:pStyle w:val="69"/>
        <w:spacing w:line="360" w:lineRule="auto"/>
        <w:ind w:firstLine="480" w:firstLineChars="200"/>
        <w:jc w:val="both"/>
        <w:rPr>
          <w:color w:val="auto"/>
        </w:rPr>
      </w:pPr>
      <w:r>
        <w:rPr>
          <w:color w:val="auto"/>
        </w:rPr>
        <w:t>3. 采购文件咨询：022-2453</w:t>
      </w:r>
      <w:r>
        <w:rPr>
          <w:rFonts w:hint="eastAsia"/>
          <w:color w:val="auto"/>
        </w:rPr>
        <w:t>8271</w:t>
      </w:r>
    </w:p>
    <w:p w14:paraId="4EEDC867">
      <w:pPr>
        <w:pStyle w:val="69"/>
        <w:spacing w:line="360" w:lineRule="auto"/>
        <w:ind w:firstLine="480" w:firstLineChars="200"/>
        <w:jc w:val="both"/>
        <w:rPr>
          <w:color w:val="auto"/>
        </w:rPr>
      </w:pPr>
      <w:r>
        <w:rPr>
          <w:color w:val="auto"/>
        </w:rPr>
        <w:t>4. 网上应答及解密操作咨询：022-24538309</w:t>
      </w:r>
    </w:p>
    <w:p w14:paraId="77C32578">
      <w:pPr>
        <w:pStyle w:val="69"/>
        <w:spacing w:line="360" w:lineRule="auto"/>
        <w:ind w:firstLine="480" w:firstLineChars="200"/>
        <w:jc w:val="both"/>
        <w:rPr>
          <w:color w:val="auto"/>
        </w:rPr>
      </w:pPr>
      <w:r>
        <w:rPr>
          <w:color w:val="auto"/>
        </w:rPr>
        <w:t>八、采购人信息</w:t>
      </w:r>
    </w:p>
    <w:p w14:paraId="42EC4DFF">
      <w:pPr>
        <w:pStyle w:val="69"/>
        <w:spacing w:line="360" w:lineRule="auto"/>
        <w:ind w:firstLine="480" w:firstLineChars="200"/>
        <w:rPr>
          <w:color w:val="auto"/>
        </w:rPr>
      </w:pPr>
      <w:r>
        <w:rPr>
          <w:color w:val="auto"/>
        </w:rPr>
        <w:t>（一）采购人名称：</w:t>
      </w:r>
      <w:r>
        <w:rPr>
          <w:rFonts w:hint="eastAsia"/>
          <w:color w:val="auto"/>
        </w:rPr>
        <w:t>天津市公共资源交易中心</w:t>
      </w:r>
    </w:p>
    <w:p w14:paraId="22F7FAB3">
      <w:pPr>
        <w:pStyle w:val="69"/>
        <w:spacing w:line="360" w:lineRule="auto"/>
        <w:ind w:firstLine="480" w:firstLineChars="200"/>
        <w:rPr>
          <w:color w:val="auto"/>
        </w:rPr>
      </w:pPr>
      <w:r>
        <w:rPr>
          <w:color w:val="auto"/>
        </w:rPr>
        <w:t>（二）采购人地址：</w:t>
      </w:r>
      <w:bookmarkStart w:id="2" w:name="OLE_LINK5"/>
      <w:bookmarkStart w:id="3" w:name="OLE_LINK4"/>
      <w:r>
        <w:rPr>
          <w:rFonts w:hint="eastAsia"/>
          <w:color w:val="auto"/>
        </w:rPr>
        <w:t>天津市河东区红星路79号</w:t>
      </w:r>
      <w:bookmarkEnd w:id="2"/>
      <w:bookmarkEnd w:id="3"/>
    </w:p>
    <w:p w14:paraId="34F5BBF0">
      <w:pPr>
        <w:pStyle w:val="69"/>
        <w:spacing w:line="360" w:lineRule="auto"/>
        <w:ind w:firstLine="480" w:firstLineChars="200"/>
        <w:rPr>
          <w:color w:val="auto"/>
        </w:rPr>
      </w:pPr>
      <w:r>
        <w:rPr>
          <w:color w:val="auto"/>
        </w:rPr>
        <w:t>（三）采购人联系人：</w:t>
      </w:r>
      <w:r>
        <w:rPr>
          <w:rFonts w:hint="eastAsia"/>
          <w:color w:val="auto"/>
        </w:rPr>
        <w:t>林霖</w:t>
      </w:r>
    </w:p>
    <w:p w14:paraId="29E46544">
      <w:pPr>
        <w:pStyle w:val="69"/>
        <w:spacing w:line="360" w:lineRule="auto"/>
        <w:ind w:firstLine="480" w:firstLineChars="200"/>
        <w:jc w:val="both"/>
        <w:rPr>
          <w:color w:val="auto"/>
        </w:rPr>
      </w:pPr>
      <w:r>
        <w:rPr>
          <w:color w:val="auto"/>
        </w:rPr>
        <w:t>（四）采购人联系电话：</w:t>
      </w:r>
      <w:r>
        <w:rPr>
          <w:rFonts w:hint="eastAsia"/>
          <w:color w:val="auto"/>
        </w:rPr>
        <w:t>022-</w:t>
      </w:r>
      <w:r>
        <w:rPr>
          <w:color w:val="auto"/>
        </w:rPr>
        <w:t>24538289</w:t>
      </w:r>
    </w:p>
    <w:p w14:paraId="68606B2E">
      <w:pPr>
        <w:pStyle w:val="69"/>
        <w:spacing w:line="360" w:lineRule="auto"/>
        <w:ind w:firstLine="480" w:firstLineChars="200"/>
        <w:jc w:val="both"/>
        <w:rPr>
          <w:color w:val="auto"/>
        </w:rPr>
      </w:pPr>
      <w:r>
        <w:rPr>
          <w:color w:val="auto"/>
        </w:rPr>
        <w:t>九、质疑方式</w:t>
      </w:r>
    </w:p>
    <w:p w14:paraId="138AEC5C">
      <w:pPr>
        <w:pStyle w:val="69"/>
        <w:spacing w:line="360" w:lineRule="auto"/>
        <w:ind w:firstLine="480" w:firstLineChars="200"/>
        <w:rPr>
          <w:color w:val="auto"/>
        </w:rPr>
      </w:pPr>
      <w:r>
        <w:rPr>
          <w:rFonts w:hint="eastAsia"/>
          <w:color w:val="auto"/>
        </w:rPr>
        <w:t>（一）供应商认为采购文件、采购过程和采购结果使自己的权益受到损害的，可以在知道或者应知其权益受到损害之日起七个工作日内，以书面原件形式针对同一采购程序环节一次性提出质疑，否则不予受理。</w:t>
      </w:r>
    </w:p>
    <w:p w14:paraId="0B45A093">
      <w:pPr>
        <w:pStyle w:val="69"/>
        <w:spacing w:line="360" w:lineRule="auto"/>
        <w:ind w:firstLine="480" w:firstLineChars="200"/>
        <w:rPr>
          <w:color w:val="auto"/>
        </w:rPr>
      </w:pPr>
      <w:r>
        <w:rPr>
          <w:rFonts w:hint="eastAsia"/>
          <w:color w:val="auto"/>
        </w:rPr>
        <w:t>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2C7C1C82">
      <w:pPr>
        <w:pStyle w:val="69"/>
        <w:spacing w:line="360" w:lineRule="auto"/>
        <w:ind w:firstLine="480" w:firstLineChars="200"/>
        <w:rPr>
          <w:color w:val="auto"/>
        </w:rPr>
      </w:pPr>
      <w:r>
        <w:rPr>
          <w:color w:val="auto"/>
        </w:rPr>
        <w:t>采购人质疑受理：</w:t>
      </w:r>
    </w:p>
    <w:p w14:paraId="46F41D15">
      <w:pPr>
        <w:pStyle w:val="69"/>
        <w:spacing w:line="360" w:lineRule="auto"/>
        <w:ind w:firstLine="480" w:firstLineChars="200"/>
        <w:rPr>
          <w:color w:val="auto"/>
        </w:rPr>
      </w:pPr>
      <w:r>
        <w:rPr>
          <w:color w:val="auto"/>
        </w:rPr>
        <w:t>1. 联系部门：</w:t>
      </w:r>
      <w:r>
        <w:rPr>
          <w:rFonts w:hint="eastAsia"/>
          <w:color w:val="auto"/>
        </w:rPr>
        <w:t>天津市公共资源交易中心</w:t>
      </w:r>
    </w:p>
    <w:p w14:paraId="53955ACA">
      <w:pPr>
        <w:pStyle w:val="69"/>
        <w:spacing w:line="360" w:lineRule="auto"/>
        <w:ind w:firstLine="480" w:firstLineChars="200"/>
        <w:rPr>
          <w:color w:val="auto"/>
        </w:rPr>
      </w:pPr>
      <w:r>
        <w:rPr>
          <w:color w:val="auto"/>
        </w:rPr>
        <w:t>2. 联系地址：</w:t>
      </w:r>
      <w:r>
        <w:rPr>
          <w:rFonts w:hint="eastAsia"/>
          <w:color w:val="auto"/>
        </w:rPr>
        <w:t>天津市河东区红星路79号</w:t>
      </w:r>
    </w:p>
    <w:p w14:paraId="55D86E76">
      <w:pPr>
        <w:pStyle w:val="69"/>
        <w:spacing w:line="360" w:lineRule="auto"/>
        <w:ind w:firstLine="480" w:firstLineChars="200"/>
        <w:rPr>
          <w:color w:val="auto"/>
        </w:rPr>
      </w:pPr>
      <w:r>
        <w:rPr>
          <w:color w:val="auto"/>
        </w:rPr>
        <w:t>3. 联 系 人：</w:t>
      </w:r>
      <w:r>
        <w:rPr>
          <w:rFonts w:hint="eastAsia"/>
          <w:color w:val="auto"/>
        </w:rPr>
        <w:t>董子煜</w:t>
      </w:r>
    </w:p>
    <w:p w14:paraId="65F85254">
      <w:pPr>
        <w:pStyle w:val="69"/>
        <w:spacing w:line="360" w:lineRule="auto"/>
        <w:ind w:firstLine="480" w:firstLineChars="200"/>
        <w:rPr>
          <w:color w:val="auto"/>
        </w:rPr>
      </w:pPr>
      <w:r>
        <w:rPr>
          <w:color w:val="auto"/>
        </w:rPr>
        <w:t>4. 联系方式：</w:t>
      </w:r>
      <w:r>
        <w:rPr>
          <w:rFonts w:hint="eastAsia"/>
          <w:color w:val="auto"/>
        </w:rPr>
        <w:t>022-</w:t>
      </w:r>
      <w:r>
        <w:rPr>
          <w:color w:val="auto"/>
        </w:rPr>
        <w:t>24538233</w:t>
      </w:r>
    </w:p>
    <w:p w14:paraId="34348309">
      <w:pPr>
        <w:pStyle w:val="69"/>
        <w:spacing w:line="360" w:lineRule="auto"/>
        <w:ind w:firstLine="480" w:firstLineChars="200"/>
        <w:jc w:val="both"/>
        <w:rPr>
          <w:color w:val="auto"/>
        </w:rPr>
      </w:pPr>
      <w:r>
        <w:rPr>
          <w:color w:val="auto"/>
        </w:rPr>
        <w:t>（二）供应商对质疑答复不满意的，或者采购人、天津市政府采购中心未在规定期限内作出答复的，供应商可以在质疑答复期满后15个工作日内，向采购人同级财政部门提出投诉，逾期不予受理。</w:t>
      </w:r>
    </w:p>
    <w:p w14:paraId="24A269CB">
      <w:pPr>
        <w:pStyle w:val="69"/>
        <w:spacing w:line="360" w:lineRule="auto"/>
        <w:ind w:firstLine="480" w:firstLineChars="200"/>
        <w:jc w:val="both"/>
        <w:rPr>
          <w:color w:val="auto"/>
        </w:rPr>
      </w:pPr>
      <w:r>
        <w:rPr>
          <w:color w:val="auto"/>
        </w:rPr>
        <w:t>十、公告期限</w:t>
      </w:r>
    </w:p>
    <w:p w14:paraId="5A367EF4">
      <w:pPr>
        <w:pStyle w:val="69"/>
        <w:spacing w:line="360" w:lineRule="auto"/>
        <w:ind w:firstLine="480" w:firstLineChars="200"/>
        <w:jc w:val="both"/>
        <w:rPr>
          <w:color w:val="auto"/>
        </w:rPr>
      </w:pPr>
      <w:r>
        <w:rPr>
          <w:color w:val="auto"/>
        </w:rPr>
        <w:t>招标公告的公告期限为5个工作日。</w:t>
      </w:r>
    </w:p>
    <w:p w14:paraId="1903AB2F">
      <w:pPr>
        <w:pStyle w:val="69"/>
        <w:spacing w:line="360" w:lineRule="auto"/>
        <w:ind w:firstLine="480" w:firstLineChars="200"/>
        <w:jc w:val="both"/>
        <w:rPr>
          <w:color w:val="auto"/>
        </w:rPr>
      </w:pPr>
      <w:r>
        <w:rPr>
          <w:color w:val="auto"/>
        </w:rPr>
        <w:t>十一、招标代理服务费</w:t>
      </w:r>
    </w:p>
    <w:p w14:paraId="01F64A16">
      <w:pPr>
        <w:pStyle w:val="69"/>
        <w:spacing w:line="360" w:lineRule="auto"/>
        <w:ind w:firstLine="480" w:firstLineChars="200"/>
        <w:jc w:val="both"/>
        <w:rPr>
          <w:color w:val="auto"/>
        </w:rPr>
      </w:pPr>
      <w:r>
        <w:rPr>
          <w:color w:val="auto"/>
        </w:rPr>
        <w:t>本项目不收取招标代理服务费。</w:t>
      </w:r>
    </w:p>
    <w:p w14:paraId="6D72419F">
      <w:pPr>
        <w:pStyle w:val="69"/>
        <w:spacing w:line="360" w:lineRule="auto"/>
        <w:ind w:firstLine="480" w:firstLineChars="200"/>
        <w:jc w:val="both"/>
        <w:rPr>
          <w:color w:val="auto"/>
        </w:rPr>
      </w:pPr>
    </w:p>
    <w:p w14:paraId="7B02BE52">
      <w:pPr>
        <w:pStyle w:val="69"/>
        <w:spacing w:line="360" w:lineRule="auto"/>
        <w:ind w:firstLine="480" w:firstLineChars="200"/>
        <w:jc w:val="both"/>
        <w:rPr>
          <w:color w:val="auto"/>
        </w:rPr>
      </w:pPr>
    </w:p>
    <w:p w14:paraId="2A7C608B">
      <w:pPr>
        <w:pStyle w:val="69"/>
        <w:spacing w:line="360" w:lineRule="auto"/>
        <w:ind w:firstLine="480" w:firstLineChars="200"/>
        <w:jc w:val="both"/>
        <w:rPr>
          <w:color w:val="auto"/>
        </w:rPr>
      </w:pPr>
    </w:p>
    <w:p w14:paraId="7F9D2BBD">
      <w:pPr>
        <w:pStyle w:val="69"/>
        <w:spacing w:line="360" w:lineRule="auto"/>
        <w:jc w:val="both"/>
        <w:rPr>
          <w:color w:val="auto"/>
        </w:rPr>
      </w:pPr>
    </w:p>
    <w:p w14:paraId="43661F5F">
      <w:pPr>
        <w:pStyle w:val="69"/>
        <w:spacing w:line="360" w:lineRule="auto"/>
        <w:jc w:val="right"/>
        <w:rPr>
          <w:b/>
          <w:bCs/>
          <w:color w:val="auto"/>
          <w:kern w:val="28"/>
          <w:sz w:val="32"/>
          <w:szCs w:val="32"/>
        </w:rPr>
      </w:pPr>
      <w:r>
        <w:rPr>
          <w:color w:val="auto"/>
        </w:rPr>
        <w:t>2026年</w:t>
      </w:r>
      <w:r>
        <w:rPr>
          <w:rFonts w:hint="eastAsia"/>
          <w:color w:val="auto"/>
        </w:rPr>
        <w:t>3</w:t>
      </w:r>
      <w:r>
        <w:rPr>
          <w:color w:val="auto"/>
        </w:rPr>
        <w:t>月</w:t>
      </w:r>
      <w:r>
        <w:rPr>
          <w:rFonts w:hint="eastAsia"/>
          <w:color w:val="auto"/>
        </w:rPr>
        <w:t>20</w:t>
      </w:r>
      <w:r>
        <w:rPr>
          <w:color w:val="auto"/>
        </w:rPr>
        <w:t>日</w:t>
      </w:r>
    </w:p>
    <w:p w14:paraId="2EC258C4">
      <w:pPr>
        <w:widowControl/>
        <w:jc w:val="left"/>
        <w:rPr>
          <w:rFonts w:ascii="宋体" w:hAnsi="宋体"/>
          <w:sz w:val="24"/>
          <w:szCs w:val="24"/>
        </w:rPr>
      </w:pPr>
      <w:r>
        <w:rPr>
          <w:rFonts w:ascii="宋体" w:hAnsi="宋体"/>
          <w:sz w:val="24"/>
          <w:szCs w:val="24"/>
        </w:rPr>
        <w:br w:type="page"/>
      </w:r>
    </w:p>
    <w:p w14:paraId="72DB4B4E">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040FC21A">
      <w:pPr>
        <w:spacing w:line="360" w:lineRule="auto"/>
        <w:jc w:val="center"/>
        <w:rPr>
          <w:rFonts w:eastAsia="方正小标宋简体"/>
          <w:bCs/>
          <w:kern w:val="0"/>
          <w:sz w:val="24"/>
          <w:szCs w:val="24"/>
        </w:rPr>
      </w:pPr>
    </w:p>
    <w:p w14:paraId="35785ED1">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19C5FCBC">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06A2DBCD">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5F16DB96">
      <w:pPr>
        <w:spacing w:line="360" w:lineRule="auto"/>
        <w:jc w:val="center"/>
        <w:rPr>
          <w:rFonts w:eastAsia="方正小标宋简体"/>
          <w:spacing w:val="-10"/>
          <w:sz w:val="24"/>
          <w:szCs w:val="24"/>
        </w:rPr>
      </w:pPr>
    </w:p>
    <w:p w14:paraId="444FB2D6">
      <w:pPr>
        <w:spacing w:line="360" w:lineRule="auto"/>
        <w:jc w:val="center"/>
        <w:rPr>
          <w:rFonts w:eastAsia="方正小标宋简体"/>
          <w:spacing w:val="-10"/>
          <w:sz w:val="24"/>
          <w:szCs w:val="24"/>
        </w:rPr>
      </w:pPr>
    </w:p>
    <w:p w14:paraId="23080612">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00904D47">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18ADDC9F">
      <w:pPr>
        <w:spacing w:line="320" w:lineRule="exact"/>
        <w:ind w:firstLine="480" w:firstLineChars="200"/>
        <w:rPr>
          <w:rFonts w:eastAsiaTheme="minorEastAsia"/>
          <w:sz w:val="24"/>
          <w:szCs w:val="24"/>
        </w:rPr>
      </w:pPr>
      <w:r>
        <w:rPr>
          <w:rFonts w:eastAsiaTheme="minorEastAsia"/>
          <w:sz w:val="24"/>
          <w:szCs w:val="24"/>
        </w:rPr>
        <w:t>【政策概述】</w:t>
      </w:r>
    </w:p>
    <w:p w14:paraId="0FE077C8">
      <w:pPr>
        <w:spacing w:line="320" w:lineRule="exact"/>
        <w:ind w:firstLine="480" w:firstLineChars="200"/>
        <w:rPr>
          <w:rFonts w:eastAsiaTheme="minorEastAsia"/>
          <w:sz w:val="24"/>
          <w:szCs w:val="24"/>
        </w:rPr>
      </w:pPr>
      <w:r>
        <w:rPr>
          <w:rFonts w:eastAsiaTheme="minorEastAsia"/>
          <w:sz w:val="24"/>
          <w:szCs w:val="24"/>
        </w:rPr>
        <w:t>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61792544">
      <w:pPr>
        <w:spacing w:line="320" w:lineRule="exact"/>
        <w:ind w:firstLine="480" w:firstLineChars="200"/>
        <w:rPr>
          <w:rFonts w:eastAsiaTheme="minorEastAsia"/>
          <w:sz w:val="24"/>
          <w:szCs w:val="24"/>
        </w:rPr>
      </w:pPr>
      <w:r>
        <w:rPr>
          <w:rFonts w:eastAsiaTheme="minorEastAsia"/>
          <w:sz w:val="24"/>
          <w:szCs w:val="24"/>
        </w:rPr>
        <w:t>【支持对象】</w:t>
      </w:r>
    </w:p>
    <w:p w14:paraId="1B56357F">
      <w:pPr>
        <w:spacing w:line="320" w:lineRule="exact"/>
        <w:ind w:firstLine="480" w:firstLineChars="200"/>
        <w:rPr>
          <w:rFonts w:eastAsiaTheme="minorEastAsia"/>
          <w:sz w:val="24"/>
          <w:szCs w:val="24"/>
        </w:rPr>
      </w:pPr>
      <w:r>
        <w:rPr>
          <w:rFonts w:eastAsiaTheme="minorEastAsia"/>
          <w:sz w:val="24"/>
          <w:szCs w:val="24"/>
        </w:rPr>
        <w:t>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7644FC9C">
      <w:pPr>
        <w:pStyle w:val="14"/>
        <w:spacing w:line="320" w:lineRule="exact"/>
        <w:ind w:firstLine="480" w:firstLineChars="200"/>
        <w:rPr>
          <w:rFonts w:ascii="Times New Roman" w:hAnsi="Times New Roman" w:eastAsiaTheme="minorEastAsia"/>
          <w:szCs w:val="24"/>
          <w:lang w:eastAsia="zh-CN"/>
        </w:rPr>
      </w:pPr>
      <w:r>
        <w:rPr>
          <w:rFonts w:ascii="Times New Roman" w:hAnsi="Times New Roman" w:eastAsiaTheme="minorEastAsia"/>
          <w:szCs w:val="24"/>
          <w:lang w:eastAsia="zh-CN"/>
        </w:rPr>
        <w:t>【支持情形】</w:t>
      </w:r>
    </w:p>
    <w:p w14:paraId="73936169">
      <w:pPr>
        <w:pStyle w:val="14"/>
        <w:spacing w:line="320" w:lineRule="exact"/>
        <w:ind w:firstLine="480" w:firstLineChars="200"/>
        <w:rPr>
          <w:rFonts w:ascii="Times New Roman" w:hAnsi="Times New Roman" w:eastAsiaTheme="minorEastAsia"/>
          <w:snapToGrid w:val="0"/>
          <w:szCs w:val="24"/>
          <w:lang w:eastAsia="zh-CN"/>
        </w:rPr>
      </w:pPr>
      <w:r>
        <w:rPr>
          <w:rFonts w:ascii="Times New Roman" w:hAnsi="Times New Roman" w:eastAsiaTheme="minorEastAsia"/>
          <w:snapToGrid w:val="0"/>
          <w:szCs w:val="24"/>
          <w:lang w:eastAsia="zh-CN"/>
        </w:rPr>
        <w:t>在政府采购活动中，供应商提供的货物、工程或者服务符合下列情形的，享受支持政策：</w:t>
      </w:r>
    </w:p>
    <w:p w14:paraId="5BA1E6C2">
      <w:pPr>
        <w:pStyle w:val="14"/>
        <w:spacing w:line="320" w:lineRule="exact"/>
        <w:ind w:firstLine="480" w:firstLineChars="200"/>
        <w:rPr>
          <w:rFonts w:ascii="Times New Roman" w:hAnsi="Times New Roman" w:eastAsiaTheme="minorEastAsia"/>
          <w:snapToGrid w:val="0"/>
          <w:szCs w:val="24"/>
          <w:lang w:eastAsia="zh-CN"/>
        </w:rPr>
      </w:pPr>
      <w:r>
        <w:rPr>
          <w:rFonts w:ascii="Times New Roman" w:hAnsi="Times New Roman" w:eastAsiaTheme="minorEastAsia"/>
          <w:snapToGrid w:val="0"/>
          <w:szCs w:val="24"/>
          <w:lang w:eastAsia="zh-CN"/>
        </w:rPr>
        <w:t>（一）在货物采购项目中，货物由中小企业制造，即货物由</w:t>
      </w:r>
      <w:r>
        <w:rPr>
          <w:rFonts w:ascii="Times New Roman" w:hAnsi="Times New Roman" w:eastAsiaTheme="minorEastAsia"/>
          <w:b/>
          <w:snapToGrid w:val="0"/>
          <w:szCs w:val="24"/>
          <w:lang w:eastAsia="zh-CN"/>
        </w:rPr>
        <w:t>中小企业生产且使用该中小企业商号或者注册商标</w:t>
      </w:r>
      <w:r>
        <w:rPr>
          <w:rFonts w:ascii="Times New Roman" w:hAnsi="Times New Roman" w:eastAsiaTheme="minorEastAsia"/>
          <w:snapToGrid w:val="0"/>
          <w:szCs w:val="24"/>
          <w:lang w:eastAsia="zh-CN"/>
        </w:rPr>
        <w:t>；</w:t>
      </w:r>
    </w:p>
    <w:p w14:paraId="574A87DB">
      <w:pPr>
        <w:pStyle w:val="14"/>
        <w:spacing w:line="320" w:lineRule="exact"/>
        <w:ind w:firstLine="480" w:firstLineChars="200"/>
        <w:rPr>
          <w:rFonts w:ascii="Times New Roman" w:hAnsi="Times New Roman" w:eastAsiaTheme="minorEastAsia"/>
          <w:snapToGrid w:val="0"/>
          <w:szCs w:val="24"/>
          <w:lang w:eastAsia="zh-CN"/>
        </w:rPr>
      </w:pPr>
      <w:r>
        <w:rPr>
          <w:rFonts w:ascii="Times New Roman" w:hAnsi="Times New Roman" w:eastAsiaTheme="minorEastAsia"/>
          <w:snapToGrid w:val="0"/>
          <w:szCs w:val="24"/>
          <w:lang w:eastAsia="zh-CN"/>
        </w:rPr>
        <w:t>（二）在工程采购项目中，工程由中小企业承建，即工程施工单位为中小企业；</w:t>
      </w:r>
    </w:p>
    <w:p w14:paraId="0782596C">
      <w:pPr>
        <w:pStyle w:val="14"/>
        <w:spacing w:line="320" w:lineRule="exact"/>
        <w:ind w:firstLine="480" w:firstLineChars="200"/>
        <w:rPr>
          <w:rFonts w:ascii="Times New Roman" w:hAnsi="Times New Roman" w:eastAsiaTheme="minorEastAsia"/>
          <w:snapToGrid w:val="0"/>
          <w:szCs w:val="24"/>
          <w:lang w:eastAsia="zh-CN"/>
        </w:rPr>
      </w:pPr>
      <w:r>
        <w:rPr>
          <w:rFonts w:ascii="Times New Roman" w:hAnsi="Times New Roman" w:eastAsiaTheme="minorEastAsia"/>
          <w:snapToGrid w:val="0"/>
          <w:szCs w:val="24"/>
          <w:lang w:eastAsia="zh-CN"/>
        </w:rPr>
        <w:t>（三）在服务采购项目中，服务由中小企业承接，即提供服务的人员为中小企业依照《中华人民共和国劳动合同法》</w:t>
      </w:r>
      <w:r>
        <w:rPr>
          <w:rFonts w:ascii="Times New Roman" w:hAnsi="Times New Roman" w:eastAsiaTheme="minorEastAsia"/>
          <w:b/>
          <w:snapToGrid w:val="0"/>
          <w:szCs w:val="24"/>
          <w:lang w:eastAsia="zh-CN"/>
        </w:rPr>
        <w:t>订立劳动合同</w:t>
      </w:r>
      <w:r>
        <w:rPr>
          <w:rFonts w:ascii="Times New Roman" w:hAnsi="Times New Roman" w:eastAsiaTheme="minorEastAsia"/>
          <w:snapToGrid w:val="0"/>
          <w:szCs w:val="24"/>
          <w:lang w:eastAsia="zh-CN"/>
        </w:rPr>
        <w:t>的从业人员。</w:t>
      </w:r>
    </w:p>
    <w:p w14:paraId="56F51693">
      <w:pPr>
        <w:spacing w:line="320" w:lineRule="exact"/>
        <w:ind w:firstLine="480"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195DC2A9">
      <w:pPr>
        <w:pStyle w:val="14"/>
        <w:spacing w:line="320" w:lineRule="exact"/>
        <w:ind w:firstLine="480" w:firstLineChars="200"/>
        <w:rPr>
          <w:rFonts w:ascii="Times New Roman" w:hAnsi="Times New Roman" w:eastAsiaTheme="minorEastAsia"/>
          <w:szCs w:val="24"/>
          <w:lang w:eastAsia="zh-CN"/>
        </w:rPr>
      </w:pPr>
      <w:r>
        <w:rPr>
          <w:rFonts w:ascii="Times New Roman" w:hAnsi="Times New Roman" w:eastAsiaTheme="minorEastAsia"/>
          <w:szCs w:val="24"/>
          <w:lang w:eastAsia="zh-CN"/>
        </w:rPr>
        <w:t>【注意事项】</w:t>
      </w:r>
    </w:p>
    <w:p w14:paraId="0141D2E3">
      <w:pPr>
        <w:spacing w:line="320" w:lineRule="exact"/>
        <w:ind w:firstLine="480" w:firstLineChars="200"/>
        <w:rPr>
          <w:rFonts w:eastAsiaTheme="minorEastAsia"/>
          <w:sz w:val="24"/>
          <w:szCs w:val="24"/>
        </w:rPr>
      </w:pPr>
      <w:r>
        <w:rPr>
          <w:rFonts w:eastAsiaTheme="minorEastAsia"/>
          <w:sz w:val="24"/>
          <w:szCs w:val="24"/>
        </w:rPr>
        <w:t>1.</w:t>
      </w:r>
      <w:r>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112F03FC">
      <w:pPr>
        <w:spacing w:line="320" w:lineRule="exact"/>
        <w:ind w:firstLine="480" w:firstLineChars="200"/>
        <w:rPr>
          <w:rFonts w:eastAsiaTheme="minorEastAsia"/>
          <w:sz w:val="24"/>
          <w:szCs w:val="24"/>
        </w:rPr>
      </w:pPr>
      <w:r>
        <w:rPr>
          <w:rFonts w:eastAsiaTheme="minorEastAsia"/>
          <w:sz w:val="24"/>
          <w:szCs w:val="24"/>
        </w:rPr>
        <w:t>2.</w:t>
      </w:r>
      <w:r>
        <w:rPr>
          <w:rFonts w:eastAsiaTheme="minorEastAsia"/>
          <w:snapToGrid w:val="0"/>
          <w:sz w:val="24"/>
          <w:szCs w:val="24"/>
        </w:rPr>
        <w:t>中小企业应当对声明函的内容的真实性负责。声明内容如有不实，则构成提供虚假材料谋取中标、成交的情形，需承担相应的法律责任。</w:t>
      </w:r>
    </w:p>
    <w:p w14:paraId="0B09E44A">
      <w:pPr>
        <w:spacing w:line="320" w:lineRule="exact"/>
        <w:ind w:firstLine="480" w:firstLineChars="200"/>
        <w:rPr>
          <w:rFonts w:eastAsiaTheme="minorEastAsia"/>
          <w:color w:val="000000"/>
          <w:sz w:val="24"/>
          <w:szCs w:val="24"/>
        </w:rPr>
      </w:pPr>
      <w:r>
        <w:rPr>
          <w:rFonts w:eastAsiaTheme="minorEastAsia"/>
          <w:sz w:val="24"/>
          <w:szCs w:val="24"/>
        </w:rPr>
        <w:t>3.</w:t>
      </w:r>
      <w:r>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1C8473AD">
      <w:pPr>
        <w:pStyle w:val="14"/>
        <w:spacing w:line="320" w:lineRule="exact"/>
        <w:ind w:firstLine="480" w:firstLineChars="200"/>
        <w:rPr>
          <w:rFonts w:ascii="Times New Roman" w:hAnsi="Times New Roman" w:eastAsiaTheme="minorEastAsia"/>
          <w:szCs w:val="24"/>
          <w:lang w:eastAsia="zh-CN"/>
        </w:rPr>
      </w:pPr>
      <w:r>
        <w:rPr>
          <w:rFonts w:ascii="Times New Roman" w:hAnsi="Times New Roman" w:eastAsiaTheme="minorEastAsia"/>
          <w:szCs w:val="24"/>
          <w:lang w:eastAsia="zh-CN"/>
        </w:rPr>
        <w:t>【政策目录】</w:t>
      </w:r>
    </w:p>
    <w:p w14:paraId="33DDFEE6">
      <w:pPr>
        <w:spacing w:line="320" w:lineRule="exact"/>
        <w:ind w:firstLine="480" w:firstLineChars="200"/>
        <w:rPr>
          <w:rFonts w:eastAsiaTheme="minorEastAsia"/>
          <w:color w:val="000000"/>
          <w:sz w:val="24"/>
          <w:szCs w:val="24"/>
        </w:rPr>
      </w:pPr>
      <w:r>
        <w:rPr>
          <w:rFonts w:eastAsiaTheme="minorEastAsia"/>
          <w:color w:val="000000"/>
          <w:sz w:val="24"/>
          <w:szCs w:val="24"/>
        </w:rPr>
        <w:t>1.《中华人民共和国政府采购法》第九条</w:t>
      </w:r>
    </w:p>
    <w:p w14:paraId="4025F2A3">
      <w:pPr>
        <w:spacing w:line="320" w:lineRule="exact"/>
        <w:ind w:firstLine="480"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77DF0B03">
      <w:pPr>
        <w:spacing w:line="320" w:lineRule="exact"/>
        <w:ind w:firstLine="480"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775DC910">
      <w:pPr>
        <w:spacing w:line="320" w:lineRule="exact"/>
        <w:ind w:firstLine="480"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21D6E753">
      <w:pPr>
        <w:spacing w:line="320" w:lineRule="exact"/>
        <w:ind w:firstLine="480"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14:paraId="3BE5B99F">
      <w:pPr>
        <w:spacing w:line="320" w:lineRule="exact"/>
        <w:ind w:firstLine="480" w:firstLineChars="200"/>
        <w:rPr>
          <w:rFonts w:eastAsiaTheme="minorEastAsia"/>
          <w:color w:val="000000"/>
          <w:sz w:val="24"/>
          <w:szCs w:val="24"/>
        </w:rPr>
      </w:pPr>
      <w:r>
        <w:rPr>
          <w:rFonts w:eastAsiaTheme="minorEastAsia"/>
          <w:color w:val="000000"/>
          <w:sz w:val="24"/>
          <w:szCs w:val="24"/>
        </w:rPr>
        <w:t>6.市财政局 市发展改革委 市住房城乡建设委 市交通运输委 市水务局 市政务服务办关于进一步贯彻落实政府采购支持中小企业政策的通知（津财采〔2022〕11号）</w:t>
      </w:r>
    </w:p>
    <w:p w14:paraId="262EAA85">
      <w:pPr>
        <w:tabs>
          <w:tab w:val="left" w:pos="0"/>
        </w:tabs>
        <w:spacing w:line="360" w:lineRule="auto"/>
        <w:jc w:val="center"/>
        <w:rPr>
          <w:rFonts w:ascii="宋体" w:hAnsi="宋体"/>
          <w:sz w:val="24"/>
          <w:szCs w:val="24"/>
        </w:rPr>
      </w:pPr>
    </w:p>
    <w:p w14:paraId="15688BC9">
      <w:pPr>
        <w:adjustRightInd w:val="0"/>
        <w:snapToGrid w:val="0"/>
        <w:spacing w:line="400" w:lineRule="exact"/>
        <w:jc w:val="center"/>
        <w:rPr>
          <w:b/>
          <w:sz w:val="24"/>
          <w:szCs w:val="24"/>
        </w:rPr>
      </w:pPr>
      <w:r>
        <w:rPr>
          <w:b/>
          <w:sz w:val="24"/>
          <w:szCs w:val="24"/>
        </w:rPr>
        <w:t>诚信参与政府采购活动提示函</w:t>
      </w:r>
    </w:p>
    <w:p w14:paraId="167D5E68">
      <w:pPr>
        <w:pStyle w:val="3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57235685">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007BC691">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0BEDF171">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37"/>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1A335F00">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3E599E07">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6CB65BF8">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18123CCE">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6715D8D0">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552E29C0">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53D78CEB">
      <w:pPr>
        <w:pStyle w:val="30"/>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37"/>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31F74E84">
      <w:pPr>
        <w:pStyle w:val="30"/>
        <w:shd w:val="clear" w:color="auto" w:fill="FFFFFF"/>
        <w:adjustRightInd w:val="0"/>
        <w:snapToGrid w:val="0"/>
        <w:spacing w:before="0" w:beforeAutospacing="0" w:after="0" w:afterAutospacing="0" w:line="440" w:lineRule="exact"/>
        <w:ind w:firstLine="480" w:firstLineChars="200"/>
        <w:jc w:val="both"/>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01851A69">
      <w:pPr>
        <w:tabs>
          <w:tab w:val="left" w:pos="0"/>
        </w:tabs>
        <w:spacing w:line="360" w:lineRule="auto"/>
        <w:jc w:val="center"/>
        <w:rPr>
          <w:rFonts w:ascii="宋体" w:hAnsi="宋体"/>
          <w:sz w:val="24"/>
          <w:szCs w:val="24"/>
        </w:rPr>
      </w:pPr>
    </w:p>
    <w:p w14:paraId="18B13BD9">
      <w:pPr>
        <w:widowControl/>
        <w:jc w:val="left"/>
        <w:rPr>
          <w:rFonts w:ascii="宋体" w:hAnsi="宋体"/>
          <w:sz w:val="24"/>
          <w:szCs w:val="24"/>
        </w:rPr>
      </w:pPr>
      <w:r>
        <w:rPr>
          <w:rFonts w:ascii="宋体" w:hAnsi="宋体"/>
          <w:sz w:val="24"/>
          <w:szCs w:val="24"/>
        </w:rPr>
        <w:br w:type="page"/>
      </w:r>
    </w:p>
    <w:p w14:paraId="0B8BF129">
      <w:pPr>
        <w:tabs>
          <w:tab w:val="left" w:pos="0"/>
        </w:tabs>
        <w:spacing w:line="360" w:lineRule="auto"/>
        <w:jc w:val="center"/>
        <w:rPr>
          <w:rFonts w:ascii="宋体" w:hAnsi="宋体"/>
          <w:sz w:val="24"/>
          <w:szCs w:val="24"/>
        </w:rPr>
      </w:pPr>
      <w:r>
        <w:rPr>
          <w:rFonts w:hint="eastAsia" w:ascii="宋体" w:hAnsi="宋体"/>
          <w:sz w:val="24"/>
          <w:szCs w:val="24"/>
        </w:rPr>
        <w:t>B．单一来源采购要求</w:t>
      </w:r>
    </w:p>
    <w:p w14:paraId="43EEC49F">
      <w:pPr>
        <w:spacing w:line="360" w:lineRule="auto"/>
        <w:ind w:firstLine="480" w:firstLineChars="200"/>
        <w:rPr>
          <w:sz w:val="24"/>
        </w:rPr>
      </w:pPr>
      <w:r>
        <w:rPr>
          <w:rFonts w:hint="eastAsia"/>
          <w:sz w:val="24"/>
        </w:rPr>
        <w:t>加注“★”号条款为不允许偏离的实质性要求，经单一来源采购人员判定任意一条加注“★”号的条款出现偏离，视为无效响应。</w:t>
      </w:r>
    </w:p>
    <w:p w14:paraId="39101732">
      <w:pPr>
        <w:widowControl/>
        <w:spacing w:line="360" w:lineRule="auto"/>
        <w:ind w:firstLine="480" w:firstLineChars="200"/>
        <w:jc w:val="left"/>
        <w:rPr>
          <w:sz w:val="24"/>
        </w:rPr>
      </w:pPr>
      <w:r>
        <w:rPr>
          <w:rFonts w:hint="eastAsia"/>
          <w:sz w:val="24"/>
        </w:rPr>
        <w:t>一、项目背景</w:t>
      </w:r>
    </w:p>
    <w:p w14:paraId="5152E26C">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天津市公共资源交易中心电子卖场平台自2022年建设至2023年初投入使用以来，广泛服务于市区两级的财政预算单位，目前累计市区两级采购人7000余家，供应商2000余家。随着系统上线后的逐步优化提升，各采购主体普遍反应系统操作便捷，易用性强。目前，电子卖场年累计交易量已达3万余单，累计交易额3-4亿元。随着我市优化营商环境工作的逐步落实，针对中小微企业的扶植力度不断加大，未来会有更多的中小微企业入驻到电子卖场平台，成为电子卖场的入驻供应商。</w:t>
      </w:r>
    </w:p>
    <w:p w14:paraId="5A200EC0">
      <w:pPr>
        <w:spacing w:line="360" w:lineRule="auto"/>
        <w:ind w:firstLine="480" w:firstLineChars="200"/>
        <w:rPr>
          <w:sz w:val="24"/>
          <w:szCs w:val="24"/>
        </w:rPr>
      </w:pPr>
      <w:r>
        <w:rPr>
          <w:rFonts w:hint="eastAsia"/>
          <w:sz w:val="24"/>
          <w:szCs w:val="24"/>
        </w:rPr>
        <w:t>二、</w:t>
      </w:r>
      <w:r>
        <w:rPr>
          <w:sz w:val="24"/>
          <w:szCs w:val="24"/>
        </w:rPr>
        <w:t>技术要求</w:t>
      </w:r>
    </w:p>
    <w:p w14:paraId="25D94CC9">
      <w:pPr>
        <w:autoSpaceDE w:val="0"/>
        <w:autoSpaceDN w:val="0"/>
        <w:adjustRightInd w:val="0"/>
        <w:spacing w:line="360" w:lineRule="auto"/>
        <w:ind w:firstLine="480" w:firstLineChars="200"/>
        <w:rPr>
          <w:sz w:val="24"/>
        </w:rPr>
      </w:pPr>
      <w:r>
        <w:rPr>
          <w:rFonts w:hint="eastAsia"/>
          <w:sz w:val="24"/>
        </w:rPr>
        <w:t>★</w:t>
      </w:r>
      <w:r>
        <w:rPr>
          <w:kern w:val="0"/>
          <w:sz w:val="24"/>
          <w:szCs w:val="21"/>
        </w:rPr>
        <w:t>（</w:t>
      </w:r>
      <w:r>
        <w:rPr>
          <w:rFonts w:hint="eastAsia"/>
          <w:kern w:val="0"/>
          <w:sz w:val="24"/>
          <w:szCs w:val="21"/>
        </w:rPr>
        <w:t>一</w:t>
      </w:r>
      <w:r>
        <w:rPr>
          <w:kern w:val="0"/>
          <w:sz w:val="24"/>
          <w:szCs w:val="21"/>
        </w:rPr>
        <w:t>）</w:t>
      </w:r>
      <w:r>
        <w:rPr>
          <w:rFonts w:hint="eastAsia"/>
          <w:sz w:val="24"/>
        </w:rPr>
        <w:t>供应商</w:t>
      </w:r>
      <w:r>
        <w:rPr>
          <w:sz w:val="24"/>
        </w:rPr>
        <w:t>须承诺所提供的服务、人员及设备符合相关国家强制性规定。</w:t>
      </w:r>
      <w:r>
        <w:rPr>
          <w:rFonts w:hint="eastAsia"/>
          <w:sz w:val="24"/>
        </w:rPr>
        <w:t>验收时采购人有权要求投标人出具以上</w:t>
      </w:r>
      <w:r>
        <w:rPr>
          <w:sz w:val="24"/>
        </w:rPr>
        <w:t>服务、人员及设备</w:t>
      </w:r>
      <w:r>
        <w:rPr>
          <w:rFonts w:hint="eastAsia"/>
          <w:sz w:val="24"/>
        </w:rPr>
        <w:t>符合上述规定的证明文件。</w:t>
      </w:r>
    </w:p>
    <w:p w14:paraId="79452DF3">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（二）具体要求</w:t>
      </w:r>
    </w:p>
    <w:p w14:paraId="7AD18E13">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详见项目需求书。</w:t>
      </w:r>
    </w:p>
    <w:p w14:paraId="4ED13546">
      <w:pPr>
        <w:spacing w:line="360" w:lineRule="auto"/>
        <w:ind w:firstLine="480" w:firstLineChars="200"/>
        <w:rPr>
          <w:sz w:val="24"/>
          <w:szCs w:val="24"/>
        </w:rPr>
      </w:pPr>
      <w:r>
        <w:rPr>
          <w:rFonts w:hint="eastAsia"/>
          <w:sz w:val="24"/>
          <w:szCs w:val="24"/>
        </w:rPr>
        <w:t>三、服务要求</w:t>
      </w:r>
    </w:p>
    <w:p w14:paraId="4908631B">
      <w:pPr>
        <w:spacing w:line="360" w:lineRule="auto"/>
        <w:ind w:firstLine="480" w:firstLineChars="200"/>
        <w:rPr>
          <w:sz w:val="24"/>
          <w:szCs w:val="24"/>
        </w:rPr>
      </w:pPr>
      <w:r>
        <w:rPr>
          <w:rFonts w:hint="eastAsia"/>
          <w:sz w:val="24"/>
          <w:szCs w:val="24"/>
        </w:rPr>
        <w:t>（一）详见项目需求书，投标人提供详细的服务方案。</w:t>
      </w:r>
    </w:p>
    <w:p w14:paraId="15085788">
      <w:pPr>
        <w:spacing w:line="360" w:lineRule="auto"/>
        <w:ind w:firstLine="480" w:firstLineChars="200"/>
        <w:rPr>
          <w:sz w:val="24"/>
          <w:szCs w:val="24"/>
        </w:rPr>
      </w:pPr>
      <w:r>
        <w:rPr>
          <w:rFonts w:hint="eastAsia"/>
          <w:sz w:val="24"/>
          <w:szCs w:val="24"/>
        </w:rPr>
        <w:t>（二）中标后，中标供应商须与采购人就数据信息安全签署保密协议。</w:t>
      </w:r>
    </w:p>
    <w:p w14:paraId="1E18A0B3">
      <w:pPr>
        <w:spacing w:line="360" w:lineRule="auto"/>
        <w:ind w:firstLine="480" w:firstLineChars="200"/>
        <w:rPr>
          <w:sz w:val="24"/>
          <w:szCs w:val="24"/>
        </w:rPr>
      </w:pPr>
      <w:r>
        <w:rPr>
          <w:rFonts w:hint="eastAsia"/>
          <w:sz w:val="24"/>
          <w:szCs w:val="24"/>
        </w:rPr>
        <w:t>（三）投标人须在投标文件中承诺，若其为中标供应商，将对采购人已有或将来的各业务系统对接工作免费开放接口协议、数据结构等与对接相关的所有资料。</w:t>
      </w:r>
    </w:p>
    <w:p w14:paraId="0DDF68AD">
      <w:pPr>
        <w:spacing w:line="360" w:lineRule="auto"/>
        <w:ind w:firstLine="480" w:firstLineChars="200"/>
        <w:rPr>
          <w:sz w:val="24"/>
          <w:szCs w:val="24"/>
        </w:rPr>
      </w:pPr>
      <w:r>
        <w:rPr>
          <w:rFonts w:hint="eastAsia"/>
          <w:sz w:val="24"/>
          <w:szCs w:val="24"/>
        </w:rPr>
        <w:t>四、供应商实施能力</w:t>
      </w:r>
    </w:p>
    <w:p w14:paraId="358C141B">
      <w:pPr>
        <w:autoSpaceDE w:val="0"/>
        <w:autoSpaceDN w:val="0"/>
        <w:adjustRightInd w:val="0"/>
        <w:spacing w:line="360" w:lineRule="auto"/>
        <w:ind w:firstLine="480" w:firstLineChars="200"/>
        <w:rPr>
          <w:sz w:val="24"/>
        </w:rPr>
      </w:pPr>
      <w:r>
        <w:rPr>
          <w:sz w:val="24"/>
        </w:rPr>
        <w:t>完全按照以下要求提供与本项目规模及内容相当且已完成的实施经历，提供的证明材料均不得遮挡涂黑。</w:t>
      </w:r>
    </w:p>
    <w:p w14:paraId="307558DB">
      <w:pPr>
        <w:spacing w:line="360" w:lineRule="auto"/>
        <w:ind w:firstLine="480" w:firstLineChars="200"/>
        <w:rPr>
          <w:sz w:val="24"/>
          <w:szCs w:val="24"/>
        </w:rPr>
      </w:pPr>
      <w:r>
        <w:rPr>
          <w:sz w:val="24"/>
          <w:szCs w:val="24"/>
        </w:rPr>
        <w:t>（一）合同</w:t>
      </w:r>
      <w:r>
        <w:rPr>
          <w:rFonts w:hint="eastAsia"/>
          <w:sz w:val="24"/>
          <w:szCs w:val="24"/>
        </w:rPr>
        <w:t>扫描件</w:t>
      </w:r>
      <w:r>
        <w:rPr>
          <w:sz w:val="24"/>
          <w:szCs w:val="24"/>
        </w:rPr>
        <w:t>。包括合同金额、买卖双方名称及盖章、合同清单。</w:t>
      </w:r>
    </w:p>
    <w:p w14:paraId="16FE6D42">
      <w:pPr>
        <w:spacing w:line="360" w:lineRule="auto"/>
        <w:ind w:firstLine="480" w:firstLineChars="200"/>
        <w:rPr>
          <w:sz w:val="24"/>
          <w:szCs w:val="24"/>
        </w:rPr>
      </w:pPr>
      <w:r>
        <w:rPr>
          <w:sz w:val="24"/>
          <w:szCs w:val="24"/>
        </w:rPr>
        <w:t>（二）验收报告</w:t>
      </w:r>
      <w:r>
        <w:rPr>
          <w:rFonts w:hint="eastAsia"/>
          <w:sz w:val="24"/>
          <w:szCs w:val="24"/>
        </w:rPr>
        <w:t>扫描</w:t>
      </w:r>
      <w:r>
        <w:rPr>
          <w:sz w:val="24"/>
          <w:szCs w:val="24"/>
        </w:rPr>
        <w:t>件或用户出具的成功履行合同的相关证明材料。</w:t>
      </w:r>
    </w:p>
    <w:p w14:paraId="5B8DA2C7">
      <w:pPr>
        <w:spacing w:line="360" w:lineRule="auto"/>
        <w:ind w:firstLine="480" w:firstLineChars="200"/>
        <w:rPr>
          <w:sz w:val="24"/>
          <w:szCs w:val="24"/>
        </w:rPr>
      </w:pPr>
      <w:r>
        <w:rPr>
          <w:rFonts w:hint="eastAsia"/>
          <w:sz w:val="24"/>
          <w:szCs w:val="24"/>
        </w:rPr>
        <w:t>五、商务要求</w:t>
      </w:r>
    </w:p>
    <w:p w14:paraId="058E0858">
      <w:pPr>
        <w:spacing w:line="360" w:lineRule="auto"/>
        <w:ind w:firstLine="480" w:firstLineChars="200"/>
        <w:rPr>
          <w:sz w:val="24"/>
          <w:szCs w:val="24"/>
        </w:rPr>
      </w:pPr>
      <w:r>
        <w:rPr>
          <w:sz w:val="24"/>
          <w:szCs w:val="24"/>
        </w:rPr>
        <w:t>（一）报价要求</w:t>
      </w:r>
    </w:p>
    <w:p w14:paraId="23D3E02F">
      <w:pPr>
        <w:spacing w:line="360" w:lineRule="auto"/>
        <w:ind w:firstLine="480" w:firstLineChars="200"/>
        <w:rPr>
          <w:sz w:val="24"/>
          <w:szCs w:val="24"/>
        </w:rPr>
      </w:pPr>
      <w:r>
        <w:rPr>
          <w:sz w:val="24"/>
          <w:szCs w:val="24"/>
        </w:rPr>
        <w:t xml:space="preserve">1. </w:t>
      </w:r>
      <w:r>
        <w:rPr>
          <w:rFonts w:hint="eastAsia"/>
          <w:sz w:val="24"/>
          <w:szCs w:val="24"/>
        </w:rPr>
        <w:t>投标报价以分成比例填列。例如：投标人报价分成比例为五成，则填写分成比例为0.5，最多保留2位小数。</w:t>
      </w:r>
    </w:p>
    <w:p w14:paraId="1C351564">
      <w:pPr>
        <w:spacing w:line="360" w:lineRule="auto"/>
        <w:ind w:firstLine="480" w:firstLineChars="200"/>
        <w:rPr>
          <w:sz w:val="24"/>
          <w:szCs w:val="24"/>
        </w:rPr>
      </w:pPr>
      <w:r>
        <w:rPr>
          <w:rFonts w:hint="eastAsia"/>
          <w:sz w:val="24"/>
          <w:szCs w:val="24"/>
        </w:rPr>
        <w:t>填报的分成比例不得超过0.5，否则视为无效投标。</w:t>
      </w:r>
    </w:p>
    <w:p w14:paraId="5F567C1B">
      <w:pPr>
        <w:spacing w:line="360" w:lineRule="auto"/>
        <w:ind w:firstLine="480" w:firstLineChars="200"/>
        <w:rPr>
          <w:sz w:val="24"/>
          <w:szCs w:val="24"/>
        </w:rPr>
      </w:pPr>
      <w:r>
        <w:rPr>
          <w:sz w:val="24"/>
        </w:rPr>
        <w:t xml:space="preserve">2. </w:t>
      </w:r>
      <w:r>
        <w:rPr>
          <w:rFonts w:hint="eastAsia"/>
          <w:sz w:val="24"/>
        </w:rPr>
        <w:t>供应商</w:t>
      </w:r>
      <w:r>
        <w:rPr>
          <w:sz w:val="24"/>
        </w:rPr>
        <w:t>的报价应包括：</w:t>
      </w:r>
      <w:r>
        <w:rPr>
          <w:rFonts w:hint="eastAsia"/>
          <w:sz w:val="24"/>
        </w:rPr>
        <w:t>平台开发费、平台运营费、平台维护费、管理费及税金</w:t>
      </w:r>
      <w:r>
        <w:rPr>
          <w:sz w:val="24"/>
        </w:rPr>
        <w:t>等为完成单一来源采购文件规定全部任务所需的一切应有费用。</w:t>
      </w:r>
    </w:p>
    <w:p w14:paraId="5C0DDB56">
      <w:pPr>
        <w:spacing w:line="360" w:lineRule="auto"/>
        <w:ind w:firstLine="480" w:firstLineChars="200"/>
        <w:rPr>
          <w:sz w:val="24"/>
          <w:szCs w:val="24"/>
        </w:rPr>
      </w:pPr>
      <w:r>
        <w:rPr>
          <w:sz w:val="24"/>
          <w:szCs w:val="24"/>
        </w:rPr>
        <w:t>3. 验收及相关费用由供应商负责。</w:t>
      </w:r>
    </w:p>
    <w:p w14:paraId="6B0B4984">
      <w:pPr>
        <w:pStyle w:val="69"/>
        <w:spacing w:line="360" w:lineRule="auto"/>
        <w:ind w:firstLine="480" w:firstLineChars="200"/>
        <w:jc w:val="both"/>
        <w:rPr>
          <w:color w:val="auto"/>
          <w:kern w:val="2"/>
        </w:rPr>
      </w:pPr>
      <w:r>
        <w:rPr>
          <w:color w:val="auto"/>
          <w:kern w:val="2"/>
        </w:rPr>
        <w:t>（二）时间、地点要求：</w:t>
      </w:r>
    </w:p>
    <w:p w14:paraId="2EB6BDE6">
      <w:pPr>
        <w:pStyle w:val="69"/>
        <w:spacing w:line="360" w:lineRule="auto"/>
        <w:ind w:firstLine="480" w:firstLineChars="200"/>
        <w:jc w:val="both"/>
        <w:rPr>
          <w:color w:val="auto"/>
          <w:kern w:val="2"/>
        </w:rPr>
      </w:pPr>
      <w:r>
        <w:rPr>
          <w:color w:val="auto"/>
          <w:kern w:val="2"/>
        </w:rPr>
        <w:t>1. 时间要求：</w:t>
      </w:r>
      <w:r>
        <w:rPr>
          <w:rFonts w:hint="eastAsia"/>
          <w:color w:val="auto"/>
          <w:kern w:val="2"/>
        </w:rPr>
        <w:t>合同签订之日起1年的运营期</w:t>
      </w:r>
      <w:r>
        <w:rPr>
          <w:color w:val="auto"/>
          <w:kern w:val="2"/>
        </w:rPr>
        <w:t>（特殊情况以合同为准）。</w:t>
      </w:r>
    </w:p>
    <w:p w14:paraId="53AD52EC">
      <w:pPr>
        <w:spacing w:line="360" w:lineRule="auto"/>
        <w:ind w:firstLine="480" w:firstLineChars="200"/>
        <w:rPr>
          <w:sz w:val="24"/>
          <w:szCs w:val="24"/>
        </w:rPr>
      </w:pPr>
      <w:r>
        <w:rPr>
          <w:sz w:val="24"/>
          <w:szCs w:val="24"/>
        </w:rPr>
        <w:t xml:space="preserve">2. </w:t>
      </w:r>
      <w:r>
        <w:rPr>
          <w:rFonts w:hint="eastAsia"/>
          <w:sz w:val="24"/>
          <w:szCs w:val="24"/>
        </w:rPr>
        <w:t>服务</w:t>
      </w:r>
      <w:r>
        <w:rPr>
          <w:sz w:val="24"/>
          <w:szCs w:val="24"/>
        </w:rPr>
        <w:t>地点：</w:t>
      </w:r>
      <w:r>
        <w:rPr>
          <w:rFonts w:hint="eastAsia"/>
          <w:sz w:val="24"/>
          <w:szCs w:val="24"/>
        </w:rPr>
        <w:t>天津市河东区红星路79号</w:t>
      </w:r>
      <w:r>
        <w:rPr>
          <w:sz w:val="24"/>
          <w:szCs w:val="24"/>
        </w:rPr>
        <w:t>（特殊情况以合同为准）。</w:t>
      </w:r>
    </w:p>
    <w:p w14:paraId="4B89AA36">
      <w:pPr>
        <w:spacing w:line="360" w:lineRule="auto"/>
        <w:ind w:firstLine="480" w:firstLineChars="200"/>
        <w:rPr>
          <w:sz w:val="24"/>
          <w:szCs w:val="24"/>
        </w:rPr>
      </w:pPr>
      <w:r>
        <w:rPr>
          <w:sz w:val="24"/>
          <w:szCs w:val="24"/>
        </w:rPr>
        <w:t>（三）付款方式</w:t>
      </w:r>
    </w:p>
    <w:p w14:paraId="53019836">
      <w:pPr>
        <w:spacing w:line="360" w:lineRule="auto"/>
        <w:ind w:firstLine="480" w:firstLineChars="200"/>
        <w:rPr>
          <w:sz w:val="24"/>
          <w:szCs w:val="24"/>
        </w:rPr>
      </w:pPr>
      <w:r>
        <w:rPr>
          <w:rFonts w:hint="eastAsia"/>
          <w:sz w:val="24"/>
          <w:szCs w:val="24"/>
        </w:rPr>
        <w:t>按照每半年为一期支付，双方按比例核算确认后15个工作日内根据考核结果计算出的最终支付金额进行支付，支付总金额不超过本项目预算</w:t>
      </w:r>
      <w:r>
        <w:rPr>
          <w:sz w:val="24"/>
          <w:szCs w:val="24"/>
        </w:rPr>
        <w:t>（特殊情况以合同为准）。</w:t>
      </w:r>
    </w:p>
    <w:p w14:paraId="65B2C92C">
      <w:pPr>
        <w:spacing w:line="360" w:lineRule="auto"/>
        <w:ind w:firstLine="480" w:firstLineChars="200"/>
        <w:rPr>
          <w:sz w:val="24"/>
          <w:szCs w:val="24"/>
        </w:rPr>
      </w:pPr>
      <w:r>
        <w:rPr>
          <w:sz w:val="24"/>
          <w:szCs w:val="24"/>
        </w:rPr>
        <w:t>（</w:t>
      </w:r>
      <w:r>
        <w:rPr>
          <w:rFonts w:hint="eastAsia"/>
          <w:sz w:val="24"/>
          <w:szCs w:val="24"/>
        </w:rPr>
        <w:t>四</w:t>
      </w:r>
      <w:r>
        <w:rPr>
          <w:sz w:val="24"/>
          <w:szCs w:val="24"/>
        </w:rPr>
        <w:t>）</w:t>
      </w:r>
      <w:r>
        <w:rPr>
          <w:rFonts w:hint="eastAsia"/>
          <w:sz w:val="24"/>
          <w:szCs w:val="24"/>
        </w:rPr>
        <w:t>谈判</w:t>
      </w:r>
      <w:r>
        <w:rPr>
          <w:sz w:val="24"/>
          <w:szCs w:val="24"/>
        </w:rPr>
        <w:t>保证金和履约保证金</w:t>
      </w:r>
    </w:p>
    <w:p w14:paraId="64FF34CF">
      <w:pPr>
        <w:spacing w:line="360" w:lineRule="auto"/>
        <w:ind w:firstLine="480" w:firstLineChars="200"/>
        <w:rPr>
          <w:sz w:val="24"/>
          <w:szCs w:val="24"/>
        </w:rPr>
      </w:pPr>
      <w:r>
        <w:rPr>
          <w:sz w:val="24"/>
          <w:szCs w:val="24"/>
        </w:rPr>
        <w:t>本项目不收取</w:t>
      </w:r>
      <w:r>
        <w:rPr>
          <w:rFonts w:hint="eastAsia"/>
          <w:sz w:val="24"/>
          <w:szCs w:val="24"/>
        </w:rPr>
        <w:t>谈判</w:t>
      </w:r>
      <w:r>
        <w:rPr>
          <w:sz w:val="24"/>
          <w:szCs w:val="24"/>
        </w:rPr>
        <w:t>保证金和履约保证金。</w:t>
      </w:r>
    </w:p>
    <w:p w14:paraId="415593A6">
      <w:pPr>
        <w:spacing w:line="360" w:lineRule="auto"/>
        <w:ind w:firstLine="480" w:firstLineChars="200"/>
        <w:rPr>
          <w:sz w:val="24"/>
          <w:szCs w:val="24"/>
        </w:rPr>
      </w:pPr>
      <w:r>
        <w:rPr>
          <w:rFonts w:hint="eastAsia"/>
          <w:sz w:val="24"/>
          <w:szCs w:val="24"/>
        </w:rPr>
        <w:t>六、响应文件的网上应答和提交</w:t>
      </w:r>
    </w:p>
    <w:p w14:paraId="700CA80A">
      <w:pPr>
        <w:pStyle w:val="69"/>
        <w:spacing w:line="360" w:lineRule="auto"/>
        <w:ind w:firstLine="480" w:firstLineChars="200"/>
        <w:jc w:val="both"/>
        <w:rPr>
          <w:color w:val="auto"/>
        </w:rPr>
      </w:pPr>
      <w:r>
        <w:rPr>
          <w:rFonts w:hint="eastAsia"/>
          <w:color w:val="auto"/>
        </w:rPr>
        <w:t>供应商须按《邀请函》规定提交网上应答并上传加盖供应商电子签章的电子响应文件（以通过天津公共资源电子签章客户端正确读取签章信息为准）。具体方式：</w:t>
      </w:r>
      <w:r>
        <w:rPr>
          <w:color w:val="auto"/>
        </w:rPr>
        <w:t>使用天津数字认证有限公司发出的CA数字证书（原天津市电子认证中心发出尚在有效期内的CA数字证书仍可使用）登录</w:t>
      </w:r>
      <w:r>
        <w:rPr>
          <w:rFonts w:hint="eastAsia"/>
          <w:color w:val="auto"/>
        </w:rPr>
        <w:t>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单一来源采购文件规定的截止时间前到天津市河东区红星路79号天津市政府采购中心窗口完成上述操作。</w:t>
      </w:r>
    </w:p>
    <w:p w14:paraId="16D8E728">
      <w:pPr>
        <w:pStyle w:val="69"/>
        <w:spacing w:line="360" w:lineRule="auto"/>
        <w:ind w:firstLine="480" w:firstLineChars="200"/>
        <w:rPr>
          <w:color w:val="auto"/>
        </w:rPr>
      </w:pPr>
      <w:r>
        <w:rPr>
          <w:rFonts w:hint="eastAsia"/>
          <w:color w:val="auto"/>
        </w:rPr>
        <w:t>（一）制作和上传电子响应文件要求：</w:t>
      </w:r>
    </w:p>
    <w:p w14:paraId="065A3C99">
      <w:pPr>
        <w:pStyle w:val="69"/>
        <w:spacing w:line="360" w:lineRule="auto"/>
        <w:ind w:firstLine="480" w:firstLineChars="200"/>
        <w:jc w:val="both"/>
        <w:rPr>
          <w:color w:val="auto"/>
        </w:rPr>
      </w:pPr>
      <w:r>
        <w:rPr>
          <w:rFonts w:hint="eastAsia"/>
          <w:color w:val="auto"/>
        </w:rPr>
        <w:t>1. 供应商须下载天津市政府采购中心网-下载中心-《天津公共资源电子签章客户端安装包及使用说明》。</w:t>
      </w:r>
    </w:p>
    <w:p w14:paraId="0DA91CEB">
      <w:pPr>
        <w:pStyle w:val="69"/>
        <w:spacing w:line="360" w:lineRule="auto"/>
        <w:ind w:firstLine="480" w:firstLineChars="200"/>
        <w:rPr>
          <w:color w:val="auto"/>
        </w:rPr>
      </w:pPr>
      <w:r>
        <w:rPr>
          <w:rFonts w:hint="eastAsia"/>
          <w:color w:val="auto"/>
        </w:rPr>
        <w:t>2. 供应商须按照单一来源采购文件的规定制作电子响应文件，对所需提供的一切纸质材料进行扫描后加入电子响应文件，按照《天津公共资源电子签章客户端安装包及使用说明》规定的要求制作加盖供应商电子签章的电子响应文件（以通过天津公共资源电子签章客户端正确读取签章信息为准），并于截止时间前上传至天津市政府采购中心招投标系统。</w:t>
      </w:r>
    </w:p>
    <w:p w14:paraId="6CB07CF7">
      <w:pPr>
        <w:pStyle w:val="69"/>
        <w:spacing w:line="360" w:lineRule="auto"/>
        <w:ind w:firstLine="480" w:firstLineChars="200"/>
        <w:rPr>
          <w:color w:val="auto"/>
        </w:rPr>
      </w:pPr>
      <w:r>
        <w:rPr>
          <w:rFonts w:hint="eastAsia"/>
          <w:color w:val="auto"/>
        </w:rPr>
        <w:t>（二）特别提醒：</w:t>
      </w:r>
    </w:p>
    <w:p w14:paraId="4F765218">
      <w:pPr>
        <w:pStyle w:val="69"/>
        <w:spacing w:line="360" w:lineRule="auto"/>
        <w:ind w:firstLine="480" w:firstLineChars="200"/>
        <w:rPr>
          <w:color w:val="auto"/>
        </w:rPr>
      </w:pPr>
      <w:r>
        <w:rPr>
          <w:rFonts w:hint="eastAsia"/>
          <w:color w:val="auto"/>
        </w:rPr>
        <w:t>1. 由于供应商网络接入速率不可控等网络传输风险，建议供应商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24CC0C34">
      <w:pPr>
        <w:pStyle w:val="69"/>
        <w:spacing w:line="360" w:lineRule="auto"/>
        <w:ind w:firstLine="480" w:firstLineChars="200"/>
        <w:rPr>
          <w:color w:val="auto"/>
        </w:rPr>
      </w:pPr>
      <w:r>
        <w:rPr>
          <w:rFonts w:hint="eastAsia"/>
          <w:color w:val="auto"/>
        </w:rPr>
        <w:t>2. 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325F8204">
      <w:pPr>
        <w:pStyle w:val="69"/>
        <w:spacing w:line="360" w:lineRule="auto"/>
        <w:ind w:firstLine="480" w:firstLineChars="200"/>
        <w:rPr>
          <w:color w:val="auto"/>
        </w:rPr>
      </w:pPr>
      <w:r>
        <w:rPr>
          <w:rFonts w:hint="eastAsia"/>
          <w:color w:val="auto"/>
        </w:rPr>
        <w:t>3. 供应商应保证电子响应文件清晰，便于识别，如因上传、扫描、格式等原因导致评审时受到影响，由供应商自行承担相应责任。</w:t>
      </w:r>
    </w:p>
    <w:p w14:paraId="3AC54EFE">
      <w:pPr>
        <w:pStyle w:val="69"/>
        <w:spacing w:line="360" w:lineRule="auto"/>
        <w:ind w:firstLine="480" w:firstLineChars="200"/>
        <w:jc w:val="both"/>
        <w:rPr>
          <w:color w:val="auto"/>
        </w:rPr>
      </w:pPr>
      <w:r>
        <w:rPr>
          <w:rFonts w:hint="eastAsia"/>
          <w:color w:val="auto"/>
        </w:rPr>
        <w:t>4. 未按规定提交网上应答和上传加盖电子签章的电子响应文件的将被拒绝。</w:t>
      </w:r>
    </w:p>
    <w:p w14:paraId="0CF3BBD1">
      <w:pPr>
        <w:pStyle w:val="69"/>
        <w:spacing w:line="360" w:lineRule="auto"/>
        <w:ind w:firstLine="480" w:firstLineChars="200"/>
        <w:jc w:val="both"/>
        <w:rPr>
          <w:color w:val="auto"/>
        </w:rPr>
      </w:pPr>
      <w:r>
        <w:rPr>
          <w:rFonts w:hint="eastAsia"/>
          <w:color w:val="auto"/>
        </w:rPr>
        <w:t>5. 供应商须承诺接受电子的方式，并自行承担由此带来的废标、无效的风险。未按单一来源采购文件的规定提交网上应答和上传加盖供应商电子签章的电子响应文件（以通过天津公共资源电子签章客户端正确读取签章信息为准）的将被拒绝。</w:t>
      </w:r>
    </w:p>
    <w:p w14:paraId="1376552E">
      <w:pPr>
        <w:spacing w:line="360" w:lineRule="auto"/>
        <w:ind w:firstLine="480" w:firstLineChars="200"/>
        <w:rPr>
          <w:sz w:val="24"/>
          <w:szCs w:val="24"/>
        </w:rPr>
      </w:pPr>
      <w:r>
        <w:rPr>
          <w:rFonts w:hint="eastAsia"/>
          <w:sz w:val="24"/>
          <w:szCs w:val="24"/>
        </w:rPr>
        <w:t>七、谈判程序</w:t>
      </w:r>
    </w:p>
    <w:p w14:paraId="680BBF9B">
      <w:pPr>
        <w:spacing w:line="360" w:lineRule="auto"/>
        <w:ind w:firstLine="480" w:firstLineChars="200"/>
        <w:rPr>
          <w:sz w:val="24"/>
          <w:szCs w:val="24"/>
        </w:rPr>
      </w:pPr>
      <w:r>
        <w:rPr>
          <w:sz w:val="24"/>
          <w:szCs w:val="24"/>
        </w:rPr>
        <w:t>（一）参加人员及要求</w:t>
      </w:r>
    </w:p>
    <w:p w14:paraId="54C894A0">
      <w:pPr>
        <w:spacing w:line="360" w:lineRule="auto"/>
        <w:ind w:firstLine="480" w:firstLineChars="200"/>
        <w:rPr>
          <w:sz w:val="24"/>
          <w:szCs w:val="24"/>
        </w:rPr>
      </w:pPr>
      <w:r>
        <w:rPr>
          <w:sz w:val="24"/>
          <w:szCs w:val="24"/>
        </w:rPr>
        <w:t>1. 供应商须由</w:t>
      </w:r>
      <w:r>
        <w:rPr>
          <w:rFonts w:hint="eastAsia"/>
          <w:sz w:val="24"/>
          <w:szCs w:val="24"/>
        </w:rPr>
        <w:t>其</w:t>
      </w:r>
      <w:r>
        <w:rPr>
          <w:sz w:val="24"/>
          <w:szCs w:val="24"/>
        </w:rPr>
        <w:t>授权的本单位正式员工作为</w:t>
      </w:r>
      <w:r>
        <w:rPr>
          <w:rFonts w:hint="eastAsia"/>
          <w:sz w:val="24"/>
          <w:szCs w:val="24"/>
        </w:rPr>
        <w:t>谈判代表</w:t>
      </w:r>
      <w:r>
        <w:rPr>
          <w:sz w:val="24"/>
          <w:szCs w:val="24"/>
        </w:rPr>
        <w:t>人参加</w:t>
      </w:r>
      <w:r>
        <w:rPr>
          <w:rFonts w:hint="eastAsia"/>
          <w:sz w:val="24"/>
          <w:szCs w:val="24"/>
        </w:rPr>
        <w:t>谈判</w:t>
      </w:r>
      <w:r>
        <w:rPr>
          <w:sz w:val="24"/>
          <w:szCs w:val="24"/>
        </w:rPr>
        <w:t>，随时准备对</w:t>
      </w:r>
      <w:r>
        <w:rPr>
          <w:rFonts w:hint="eastAsia"/>
          <w:sz w:val="24"/>
          <w:szCs w:val="24"/>
        </w:rPr>
        <w:t>单一来源采购人员</w:t>
      </w:r>
      <w:r>
        <w:rPr>
          <w:sz w:val="24"/>
          <w:szCs w:val="24"/>
        </w:rPr>
        <w:t>的询问予以解答，该</w:t>
      </w:r>
      <w:r>
        <w:rPr>
          <w:rFonts w:hint="eastAsia"/>
          <w:sz w:val="24"/>
          <w:szCs w:val="24"/>
        </w:rPr>
        <w:t>代表</w:t>
      </w:r>
      <w:r>
        <w:rPr>
          <w:sz w:val="24"/>
          <w:szCs w:val="24"/>
        </w:rPr>
        <w:t>人在</w:t>
      </w:r>
      <w:r>
        <w:rPr>
          <w:rFonts w:hint="eastAsia"/>
          <w:sz w:val="24"/>
          <w:szCs w:val="24"/>
        </w:rPr>
        <w:t>授权</w:t>
      </w:r>
      <w:r>
        <w:rPr>
          <w:sz w:val="24"/>
          <w:szCs w:val="24"/>
        </w:rPr>
        <w:t>书上应标明有效联系方式，该方式须保留至本项目</w:t>
      </w:r>
      <w:r>
        <w:rPr>
          <w:rFonts w:hint="eastAsia"/>
          <w:sz w:val="24"/>
          <w:szCs w:val="24"/>
        </w:rPr>
        <w:t>谈判</w:t>
      </w:r>
      <w:r>
        <w:rPr>
          <w:sz w:val="24"/>
          <w:szCs w:val="24"/>
        </w:rPr>
        <w:t>或合同履行结束。</w:t>
      </w:r>
    </w:p>
    <w:p w14:paraId="7C8F3E9D">
      <w:pPr>
        <w:spacing w:line="360" w:lineRule="auto"/>
        <w:ind w:firstLine="480" w:firstLineChars="200"/>
        <w:rPr>
          <w:sz w:val="24"/>
          <w:szCs w:val="24"/>
        </w:rPr>
      </w:pPr>
      <w:r>
        <w:rPr>
          <w:sz w:val="24"/>
          <w:szCs w:val="24"/>
        </w:rPr>
        <w:t xml:space="preserve">2. </w:t>
      </w:r>
      <w:r>
        <w:rPr>
          <w:rFonts w:hint="eastAsia"/>
          <w:sz w:val="24"/>
          <w:szCs w:val="24"/>
        </w:rPr>
        <w:t>谈判代表</w:t>
      </w:r>
      <w:r>
        <w:rPr>
          <w:sz w:val="24"/>
          <w:szCs w:val="24"/>
        </w:rPr>
        <w:t>人参加谈判仪式时，须携带身份证或其他有效证件原件，以备查验。</w:t>
      </w:r>
    </w:p>
    <w:p w14:paraId="3EF8A21D">
      <w:pPr>
        <w:spacing w:line="360" w:lineRule="auto"/>
        <w:ind w:firstLine="480" w:firstLineChars="200"/>
        <w:rPr>
          <w:sz w:val="24"/>
          <w:szCs w:val="24"/>
        </w:rPr>
      </w:pPr>
      <w:r>
        <w:rPr>
          <w:sz w:val="24"/>
          <w:szCs w:val="24"/>
        </w:rPr>
        <w:t>（二）资</w:t>
      </w:r>
      <w:r>
        <w:rPr>
          <w:rFonts w:hint="eastAsia"/>
          <w:sz w:val="24"/>
          <w:szCs w:val="24"/>
        </w:rPr>
        <w:t>格</w:t>
      </w:r>
      <w:r>
        <w:rPr>
          <w:sz w:val="24"/>
          <w:szCs w:val="24"/>
        </w:rPr>
        <w:t>审查</w:t>
      </w:r>
    </w:p>
    <w:p w14:paraId="5D29529F">
      <w:pPr>
        <w:spacing w:line="360" w:lineRule="auto"/>
        <w:ind w:firstLine="480" w:firstLineChars="200"/>
        <w:rPr>
          <w:sz w:val="24"/>
          <w:szCs w:val="24"/>
        </w:rPr>
      </w:pPr>
      <w:r>
        <w:rPr>
          <w:sz w:val="24"/>
          <w:szCs w:val="24"/>
        </w:rPr>
        <w:t>根据邀请函要求，审查供应商</w:t>
      </w:r>
      <w:r>
        <w:rPr>
          <w:rFonts w:hint="eastAsia"/>
          <w:sz w:val="24"/>
          <w:szCs w:val="24"/>
        </w:rPr>
        <w:t>递交的</w:t>
      </w:r>
      <w:r>
        <w:rPr>
          <w:sz w:val="24"/>
          <w:szCs w:val="24"/>
        </w:rPr>
        <w:t>响应文件，不符合</w:t>
      </w:r>
      <w:r>
        <w:rPr>
          <w:rFonts w:hint="eastAsia"/>
          <w:sz w:val="24"/>
          <w:szCs w:val="24"/>
        </w:rPr>
        <w:t>单一来源采购文件资格要求</w:t>
      </w:r>
      <w:r>
        <w:rPr>
          <w:sz w:val="24"/>
          <w:szCs w:val="24"/>
        </w:rPr>
        <w:t>的供应商不得进入</w:t>
      </w:r>
      <w:r>
        <w:rPr>
          <w:rFonts w:hint="eastAsia"/>
          <w:sz w:val="24"/>
          <w:szCs w:val="24"/>
        </w:rPr>
        <w:t>下一阶段</w:t>
      </w:r>
      <w:r>
        <w:rPr>
          <w:sz w:val="24"/>
          <w:szCs w:val="24"/>
        </w:rPr>
        <w:t>谈判。</w:t>
      </w:r>
    </w:p>
    <w:p w14:paraId="7AAF1797">
      <w:pPr>
        <w:spacing w:line="360" w:lineRule="auto"/>
        <w:ind w:firstLine="480" w:firstLineChars="200"/>
        <w:rPr>
          <w:sz w:val="24"/>
          <w:szCs w:val="24"/>
        </w:rPr>
      </w:pPr>
      <w:r>
        <w:rPr>
          <w:sz w:val="24"/>
          <w:szCs w:val="24"/>
        </w:rPr>
        <w:t>（</w:t>
      </w:r>
      <w:r>
        <w:rPr>
          <w:rFonts w:hint="eastAsia"/>
          <w:sz w:val="24"/>
          <w:szCs w:val="24"/>
        </w:rPr>
        <w:t>三</w:t>
      </w:r>
      <w:r>
        <w:rPr>
          <w:sz w:val="24"/>
          <w:szCs w:val="24"/>
        </w:rPr>
        <w:t>）符合性</w:t>
      </w:r>
      <w:r>
        <w:rPr>
          <w:rFonts w:hint="eastAsia"/>
          <w:sz w:val="24"/>
          <w:szCs w:val="24"/>
        </w:rPr>
        <w:t>审查</w:t>
      </w:r>
    </w:p>
    <w:p w14:paraId="10DFAB4E">
      <w:pPr>
        <w:spacing w:line="360" w:lineRule="auto"/>
        <w:ind w:firstLine="480" w:firstLineChars="200"/>
        <w:rPr>
          <w:sz w:val="24"/>
          <w:szCs w:val="24"/>
        </w:rPr>
      </w:pPr>
      <w:r>
        <w:rPr>
          <w:rFonts w:hint="eastAsia"/>
          <w:sz w:val="24"/>
          <w:szCs w:val="24"/>
        </w:rPr>
        <w:t>1</w:t>
      </w:r>
      <w:r>
        <w:rPr>
          <w:sz w:val="24"/>
          <w:szCs w:val="24"/>
        </w:rPr>
        <w:t>.</w:t>
      </w:r>
      <w:r>
        <w:rPr>
          <w:rFonts w:hint="eastAsia"/>
          <w:sz w:val="24"/>
          <w:szCs w:val="24"/>
        </w:rPr>
        <w:t xml:space="preserve"> </w:t>
      </w:r>
      <w:r>
        <w:rPr>
          <w:sz w:val="24"/>
          <w:szCs w:val="24"/>
        </w:rPr>
        <w:t>根据</w:t>
      </w:r>
      <w:r>
        <w:rPr>
          <w:rFonts w:hint="eastAsia"/>
          <w:sz w:val="24"/>
          <w:szCs w:val="24"/>
        </w:rPr>
        <w:t>单一来源采购文件</w:t>
      </w:r>
      <w:r>
        <w:rPr>
          <w:sz w:val="24"/>
          <w:szCs w:val="24"/>
        </w:rPr>
        <w:t>项目需求书要求，审查供应商</w:t>
      </w:r>
      <w:r>
        <w:rPr>
          <w:rFonts w:hint="eastAsia"/>
          <w:sz w:val="24"/>
          <w:szCs w:val="24"/>
        </w:rPr>
        <w:t>响应文件</w:t>
      </w:r>
      <w:r>
        <w:rPr>
          <w:sz w:val="24"/>
          <w:szCs w:val="24"/>
        </w:rPr>
        <w:t>内容与需求的符合性，不符合</w:t>
      </w:r>
      <w:r>
        <w:rPr>
          <w:rFonts w:hint="eastAsia"/>
          <w:sz w:val="24"/>
          <w:szCs w:val="24"/>
        </w:rPr>
        <w:t>单一来源采购文件要求</w:t>
      </w:r>
      <w:r>
        <w:rPr>
          <w:sz w:val="24"/>
          <w:szCs w:val="24"/>
        </w:rPr>
        <w:t>的供应商不得进入价格谈判阶段。</w:t>
      </w:r>
    </w:p>
    <w:p w14:paraId="3735CA50">
      <w:pPr>
        <w:spacing w:line="360" w:lineRule="auto"/>
        <w:ind w:firstLine="480" w:firstLineChars="200"/>
        <w:rPr>
          <w:sz w:val="24"/>
        </w:rPr>
      </w:pPr>
      <w:r>
        <w:rPr>
          <w:sz w:val="24"/>
          <w:szCs w:val="24"/>
        </w:rPr>
        <w:t>2.</w:t>
      </w:r>
      <w:r>
        <w:rPr>
          <w:rFonts w:hint="eastAsia"/>
          <w:sz w:val="24"/>
          <w:szCs w:val="24"/>
        </w:rPr>
        <w:t xml:space="preserve"> </w:t>
      </w:r>
      <w:r>
        <w:rPr>
          <w:bCs/>
          <w:sz w:val="24"/>
        </w:rPr>
        <w:t>单一来源采购人员</w:t>
      </w:r>
      <w:r>
        <w:rPr>
          <w:bCs/>
          <w:sz w:val="24"/>
          <w:szCs w:val="24"/>
        </w:rPr>
        <w:t>要依法独立评审，并对评审意见承担个人责任，对需要共同认定的事项存在争议的，按照少数服从多数的原则做出结论。持不同意见的成员应当在评审报告上签署不同意见并说明理由，否则视为同意。</w:t>
      </w:r>
    </w:p>
    <w:p w14:paraId="5E63E88D">
      <w:pPr>
        <w:spacing w:line="360" w:lineRule="auto"/>
        <w:ind w:firstLine="480" w:firstLineChars="200"/>
        <w:rPr>
          <w:sz w:val="24"/>
          <w:szCs w:val="24"/>
        </w:rPr>
      </w:pPr>
      <w:r>
        <w:rPr>
          <w:rFonts w:hint="eastAsia"/>
          <w:sz w:val="24"/>
          <w:szCs w:val="24"/>
        </w:rPr>
        <w:t>3</w:t>
      </w:r>
      <w:r>
        <w:rPr>
          <w:sz w:val="24"/>
          <w:szCs w:val="24"/>
        </w:rPr>
        <w:t>.</w:t>
      </w:r>
      <w:r>
        <w:rPr>
          <w:rFonts w:hint="eastAsia"/>
          <w:sz w:val="24"/>
          <w:szCs w:val="24"/>
        </w:rPr>
        <w:t xml:space="preserve"> </w:t>
      </w:r>
      <w:r>
        <w:rPr>
          <w:sz w:val="24"/>
          <w:szCs w:val="24"/>
        </w:rPr>
        <w:t>按照现行《财政部、国家发展改革委关于调整节能产品政府采购清单的通知》文件要求，对政府采购清单中的节能产品采用优先采购和强制采购的评标方法。</w:t>
      </w:r>
    </w:p>
    <w:p w14:paraId="6325FA08">
      <w:pPr>
        <w:spacing w:line="360" w:lineRule="auto"/>
        <w:ind w:firstLine="480" w:firstLineChars="200"/>
        <w:rPr>
          <w:sz w:val="24"/>
          <w:szCs w:val="24"/>
        </w:rPr>
      </w:pPr>
      <w:r>
        <w:rPr>
          <w:rFonts w:hint="eastAsia"/>
          <w:sz w:val="24"/>
          <w:szCs w:val="24"/>
        </w:rPr>
        <w:t>4</w:t>
      </w:r>
      <w:r>
        <w:rPr>
          <w:sz w:val="24"/>
          <w:szCs w:val="24"/>
        </w:rPr>
        <w:t>.</w:t>
      </w:r>
      <w:r>
        <w:rPr>
          <w:rFonts w:hint="eastAsia"/>
          <w:sz w:val="24"/>
          <w:szCs w:val="24"/>
        </w:rPr>
        <w:t xml:space="preserve"> </w:t>
      </w:r>
      <w:r>
        <w:rPr>
          <w:bCs/>
          <w:sz w:val="24"/>
        </w:rPr>
        <w:t>单一来源采购人员审查产品资质或检测报告等相关文件符合性时，应综合考虑行业特点、交易习惯、采购需求最本质原义等情况，而不应以响应文件中产品名称与谈判产品名称是否一致作为审查的标准。</w:t>
      </w:r>
    </w:p>
    <w:p w14:paraId="5AB7EAA4">
      <w:pPr>
        <w:spacing w:line="360" w:lineRule="auto"/>
        <w:ind w:firstLine="480" w:firstLineChars="200"/>
        <w:rPr>
          <w:sz w:val="24"/>
          <w:szCs w:val="24"/>
        </w:rPr>
      </w:pPr>
      <w:r>
        <w:rPr>
          <w:sz w:val="24"/>
          <w:szCs w:val="24"/>
        </w:rPr>
        <w:t>（</w:t>
      </w:r>
      <w:r>
        <w:rPr>
          <w:rFonts w:hint="eastAsia"/>
          <w:sz w:val="24"/>
          <w:szCs w:val="24"/>
        </w:rPr>
        <w:t>四</w:t>
      </w:r>
      <w:r>
        <w:rPr>
          <w:sz w:val="24"/>
          <w:szCs w:val="24"/>
        </w:rPr>
        <w:t>）价格谈判</w:t>
      </w:r>
    </w:p>
    <w:p w14:paraId="2A6E2ACA">
      <w:pPr>
        <w:spacing w:line="360" w:lineRule="auto"/>
        <w:ind w:firstLine="480" w:firstLineChars="200"/>
        <w:rPr>
          <w:sz w:val="24"/>
          <w:szCs w:val="24"/>
        </w:rPr>
      </w:pPr>
      <w:r>
        <w:rPr>
          <w:sz w:val="24"/>
          <w:szCs w:val="24"/>
        </w:rPr>
        <w:t>成交候选供应商产生办法：全部满足单一来源采购文件实质性要求，且符合采购需求、质量和服务相等的前提下，报价合理的供应商作为成交供应商。</w:t>
      </w:r>
    </w:p>
    <w:p w14:paraId="0669A34C">
      <w:pPr>
        <w:spacing w:line="360" w:lineRule="auto"/>
        <w:ind w:firstLine="480"/>
        <w:rPr>
          <w:sz w:val="24"/>
          <w:szCs w:val="24"/>
        </w:rPr>
      </w:pPr>
      <w:r>
        <w:rPr>
          <w:rFonts w:hint="eastAsia"/>
          <w:sz w:val="24"/>
          <w:szCs w:val="24"/>
        </w:rPr>
        <w:t>八、成交通知</w:t>
      </w:r>
    </w:p>
    <w:p w14:paraId="634FC707">
      <w:pPr>
        <w:spacing w:line="360" w:lineRule="auto"/>
        <w:ind w:firstLine="480"/>
        <w:rPr>
          <w:sz w:val="24"/>
          <w:szCs w:val="24"/>
        </w:rPr>
      </w:pPr>
      <w:r>
        <w:rPr>
          <w:rFonts w:hint="eastAsia"/>
          <w:sz w:val="24"/>
          <w:szCs w:val="24"/>
        </w:rPr>
        <w:t>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135985D9">
      <w:pPr>
        <w:spacing w:line="360" w:lineRule="auto"/>
        <w:ind w:firstLine="480"/>
        <w:rPr>
          <w:sz w:val="24"/>
          <w:szCs w:val="24"/>
        </w:rPr>
      </w:pPr>
      <w:r>
        <w:rPr>
          <w:rFonts w:hint="eastAsia"/>
          <w:sz w:val="24"/>
          <w:szCs w:val="24"/>
        </w:rPr>
        <w:t>九、签订合同</w:t>
      </w:r>
    </w:p>
    <w:p w14:paraId="1E00879E">
      <w:pPr>
        <w:spacing w:line="360" w:lineRule="auto"/>
        <w:ind w:firstLine="480"/>
        <w:rPr>
          <w:sz w:val="24"/>
          <w:szCs w:val="24"/>
        </w:rPr>
      </w:pPr>
      <w:r>
        <w:rPr>
          <w:sz w:val="24"/>
          <w:szCs w:val="24"/>
        </w:rPr>
        <w:t>（</w:t>
      </w:r>
      <w:r>
        <w:rPr>
          <w:rFonts w:hint="eastAsia"/>
          <w:sz w:val="24"/>
          <w:szCs w:val="24"/>
        </w:rPr>
        <w:t>一</w:t>
      </w:r>
      <w:r>
        <w:rPr>
          <w:sz w:val="24"/>
          <w:szCs w:val="24"/>
        </w:rPr>
        <w:t>）</w:t>
      </w:r>
      <w:r>
        <w:rPr>
          <w:rFonts w:hint="eastAsia"/>
          <w:sz w:val="24"/>
          <w:szCs w:val="24"/>
        </w:rPr>
        <w:t>采购人与成交供应商应当在成交通知书发出之日起三十日内，按照单一来源采购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3BAB422A">
      <w:pPr>
        <w:spacing w:line="360" w:lineRule="auto"/>
        <w:ind w:firstLine="480"/>
        <w:rPr>
          <w:sz w:val="24"/>
          <w:szCs w:val="24"/>
        </w:rPr>
      </w:pPr>
      <w:r>
        <w:rPr>
          <w:sz w:val="24"/>
          <w:szCs w:val="24"/>
        </w:rPr>
        <w:t>（</w:t>
      </w:r>
      <w:r>
        <w:rPr>
          <w:rFonts w:hint="eastAsia"/>
          <w:sz w:val="24"/>
          <w:szCs w:val="24"/>
        </w:rPr>
        <w:t>二</w:t>
      </w:r>
      <w:r>
        <w:rPr>
          <w:sz w:val="24"/>
          <w:szCs w:val="24"/>
        </w:rPr>
        <w:t>）</w:t>
      </w:r>
      <w:r>
        <w:rPr>
          <w:rFonts w:hint="eastAsia"/>
          <w:sz w:val="24"/>
          <w:szCs w:val="24"/>
        </w:rPr>
        <w:t>单一来源采购文件、成交供应商的响应文件及其澄清文件等，均为签订合同的依据，且为合同的组成部分。</w:t>
      </w:r>
    </w:p>
    <w:p w14:paraId="0102303D">
      <w:pPr>
        <w:spacing w:line="360" w:lineRule="auto"/>
        <w:ind w:firstLine="480" w:firstLineChars="200"/>
        <w:rPr>
          <w:sz w:val="24"/>
          <w:szCs w:val="24"/>
        </w:rPr>
      </w:pPr>
      <w:r>
        <w:rPr>
          <w:rFonts w:hint="eastAsia"/>
          <w:sz w:val="24"/>
          <w:szCs w:val="24"/>
        </w:rPr>
        <w:t>十、注意事项</w:t>
      </w:r>
    </w:p>
    <w:p w14:paraId="61DB0EEF">
      <w:pPr>
        <w:spacing w:line="360" w:lineRule="auto"/>
        <w:ind w:firstLine="480" w:firstLineChars="200"/>
        <w:rPr>
          <w:sz w:val="24"/>
          <w:szCs w:val="24"/>
        </w:rPr>
      </w:pPr>
      <w:r>
        <w:rPr>
          <w:rFonts w:hint="eastAsia"/>
          <w:sz w:val="24"/>
          <w:szCs w:val="24"/>
        </w:rPr>
        <w:t>（一）费用</w:t>
      </w:r>
    </w:p>
    <w:p w14:paraId="4719C91D">
      <w:pPr>
        <w:spacing w:line="360" w:lineRule="auto"/>
        <w:ind w:firstLine="480" w:firstLineChars="200"/>
        <w:rPr>
          <w:sz w:val="24"/>
          <w:szCs w:val="24"/>
        </w:rPr>
      </w:pPr>
      <w:r>
        <w:rPr>
          <w:rFonts w:hint="eastAsia"/>
          <w:sz w:val="24"/>
          <w:szCs w:val="24"/>
        </w:rPr>
        <w:t>无论谈判过程中的作法和结果如何，参加谈判的供应商自行承担所有与参加谈判有关的全部费用。</w:t>
      </w:r>
    </w:p>
    <w:p w14:paraId="35AD0D42">
      <w:pPr>
        <w:spacing w:line="360" w:lineRule="auto"/>
        <w:ind w:firstLine="480" w:firstLineChars="200"/>
        <w:rPr>
          <w:sz w:val="24"/>
          <w:szCs w:val="24"/>
        </w:rPr>
      </w:pPr>
      <w:r>
        <w:rPr>
          <w:rFonts w:hint="eastAsia"/>
          <w:sz w:val="24"/>
          <w:szCs w:val="24"/>
        </w:rPr>
        <w:t>（二）保密</w:t>
      </w:r>
    </w:p>
    <w:p w14:paraId="32CD0878">
      <w:pPr>
        <w:spacing w:line="360" w:lineRule="auto"/>
        <w:ind w:firstLine="480" w:firstLineChars="200"/>
        <w:rPr>
          <w:sz w:val="24"/>
          <w:szCs w:val="24"/>
        </w:rPr>
      </w:pPr>
      <w:r>
        <w:rPr>
          <w:rFonts w:hint="eastAsia"/>
          <w:sz w:val="24"/>
          <w:szCs w:val="24"/>
        </w:rPr>
        <w:t>在谈判过程中，有关单一来源采购文件的审查、澄清、评议以及有关授予合同的意向等一切情况不得透露给其他供应商或与评审工作无关的人员。</w:t>
      </w:r>
    </w:p>
    <w:p w14:paraId="33264AF6">
      <w:pPr>
        <w:spacing w:line="360" w:lineRule="auto"/>
        <w:ind w:firstLine="480" w:firstLineChars="200"/>
        <w:rPr>
          <w:sz w:val="24"/>
          <w:szCs w:val="24"/>
        </w:rPr>
      </w:pPr>
      <w:r>
        <w:rPr>
          <w:rFonts w:hint="eastAsia"/>
          <w:sz w:val="24"/>
          <w:szCs w:val="24"/>
        </w:rPr>
        <w:t>（三）未经采购人同意，成交供应商不得分包合同。政府采购合同分包履行的，成交供应商就采购项目和分包项目向采购人负责，分包供应商就分包项目承担责任。</w:t>
      </w:r>
    </w:p>
    <w:p w14:paraId="2FC57504">
      <w:pPr>
        <w:spacing w:line="360" w:lineRule="auto"/>
        <w:ind w:firstLine="480" w:firstLineChars="200"/>
        <w:rPr>
          <w:sz w:val="24"/>
          <w:szCs w:val="24"/>
        </w:rPr>
      </w:pPr>
      <w:r>
        <w:rPr>
          <w:rFonts w:hint="eastAsia"/>
          <w:sz w:val="24"/>
          <w:szCs w:val="24"/>
        </w:rPr>
        <w:t>（四）供应商所投及交付产品中的软件应为正版软件，无知识产权纠纷。若出现知识产权纠纷等法律问题，由供应商自行承担。</w:t>
      </w:r>
    </w:p>
    <w:p w14:paraId="608852F2">
      <w:pPr>
        <w:spacing w:line="360" w:lineRule="auto"/>
        <w:ind w:firstLine="480" w:firstLineChars="200"/>
        <w:rPr>
          <w:sz w:val="24"/>
          <w:szCs w:val="24"/>
        </w:rPr>
      </w:pPr>
      <w:r>
        <w:rPr>
          <w:rFonts w:hint="eastAsia"/>
          <w:sz w:val="24"/>
          <w:szCs w:val="24"/>
        </w:rPr>
        <w:t>（五）解释权</w:t>
      </w:r>
    </w:p>
    <w:p w14:paraId="3D20DB93">
      <w:pPr>
        <w:spacing w:line="360" w:lineRule="auto"/>
        <w:ind w:firstLine="480" w:firstLineChars="200"/>
        <w:rPr>
          <w:sz w:val="24"/>
          <w:szCs w:val="24"/>
        </w:rPr>
      </w:pPr>
      <w:r>
        <w:rPr>
          <w:rFonts w:hint="eastAsia"/>
          <w:sz w:val="24"/>
          <w:szCs w:val="24"/>
        </w:rPr>
        <w:t>1. 本次谈判的最终解释权归为政府采购组织机构，即天津市政府采购中心，当对一个问题有多种解释时以政府采购组织机构解释为准。</w:t>
      </w:r>
    </w:p>
    <w:p w14:paraId="5A6545BA">
      <w:pPr>
        <w:spacing w:line="360" w:lineRule="auto"/>
        <w:ind w:firstLine="480" w:firstLineChars="200"/>
        <w:rPr>
          <w:sz w:val="24"/>
          <w:szCs w:val="24"/>
        </w:rPr>
      </w:pPr>
      <w:r>
        <w:rPr>
          <w:rFonts w:hint="eastAsia"/>
          <w:sz w:val="24"/>
          <w:szCs w:val="24"/>
        </w:rPr>
        <w:t>2. 本文件未做须知明示，而又有相关法律、法规规定的，政府采购组织机构将对此解释为依据有关法律、法规的规定。</w:t>
      </w:r>
    </w:p>
    <w:p w14:paraId="08DA101A">
      <w:pPr>
        <w:spacing w:line="360" w:lineRule="auto"/>
        <w:ind w:firstLine="480" w:firstLineChars="200"/>
        <w:rPr>
          <w:sz w:val="24"/>
        </w:rPr>
      </w:pPr>
      <w:r>
        <w:rPr>
          <w:sz w:val="24"/>
        </w:rPr>
        <w:t>（</w:t>
      </w:r>
      <w:r>
        <w:rPr>
          <w:rFonts w:hint="eastAsia"/>
          <w:sz w:val="24"/>
        </w:rPr>
        <w:t>六</w:t>
      </w:r>
      <w:r>
        <w:rPr>
          <w:sz w:val="24"/>
        </w:rPr>
        <w:t>）本项目不接受赠品或者与采购无关的其他商品、服务，</w:t>
      </w:r>
      <w:r>
        <w:rPr>
          <w:rFonts w:hint="eastAsia"/>
          <w:sz w:val="24"/>
        </w:rPr>
        <w:t>供应商</w:t>
      </w:r>
      <w:r>
        <w:rPr>
          <w:sz w:val="24"/>
        </w:rPr>
        <w:t>亦不得以采购人要求实施前述馈赠、回扣等行为。</w:t>
      </w:r>
    </w:p>
    <w:p w14:paraId="70B6892F">
      <w:pPr>
        <w:spacing w:line="360" w:lineRule="auto"/>
        <w:ind w:firstLine="480" w:firstLineChars="200"/>
        <w:rPr>
          <w:sz w:val="24"/>
          <w:szCs w:val="24"/>
        </w:rPr>
      </w:pPr>
      <w:r>
        <w:rPr>
          <w:sz w:val="24"/>
          <w:szCs w:val="24"/>
        </w:rPr>
        <w:t>（</w:t>
      </w:r>
      <w:r>
        <w:rPr>
          <w:rFonts w:hint="eastAsia"/>
          <w:sz w:val="24"/>
          <w:szCs w:val="24"/>
        </w:rPr>
        <w:t>七</w:t>
      </w:r>
      <w:r>
        <w:rPr>
          <w:sz w:val="24"/>
          <w:szCs w:val="24"/>
        </w:rPr>
        <w:t>）本项目谈判有效期为60天。</w:t>
      </w:r>
    </w:p>
    <w:p w14:paraId="42E7E285">
      <w:pPr>
        <w:spacing w:line="360" w:lineRule="auto"/>
        <w:ind w:firstLine="480" w:firstLineChars="200"/>
        <w:rPr>
          <w:sz w:val="24"/>
          <w:szCs w:val="24"/>
        </w:rPr>
      </w:pPr>
    </w:p>
    <w:p w14:paraId="7AD07AF2">
      <w:pPr>
        <w:spacing w:line="360" w:lineRule="auto"/>
        <w:ind w:firstLine="480" w:firstLineChars="200"/>
        <w:rPr>
          <w:sz w:val="24"/>
          <w:szCs w:val="24"/>
        </w:rPr>
      </w:pPr>
    </w:p>
    <w:p w14:paraId="7E7349F8">
      <w:pPr>
        <w:spacing w:line="360" w:lineRule="auto"/>
        <w:ind w:firstLine="480" w:firstLineChars="200"/>
        <w:rPr>
          <w:sz w:val="24"/>
          <w:szCs w:val="24"/>
        </w:rPr>
      </w:pPr>
    </w:p>
    <w:p w14:paraId="5039429E">
      <w:pPr>
        <w:spacing w:line="360" w:lineRule="auto"/>
        <w:ind w:firstLine="480" w:firstLineChars="200"/>
        <w:rPr>
          <w:sz w:val="24"/>
          <w:szCs w:val="24"/>
        </w:rPr>
      </w:pPr>
    </w:p>
    <w:p w14:paraId="102D2DCF">
      <w:pPr>
        <w:spacing w:line="360" w:lineRule="auto"/>
        <w:ind w:firstLine="480" w:firstLineChars="200"/>
        <w:rPr>
          <w:sz w:val="24"/>
          <w:szCs w:val="24"/>
        </w:rPr>
      </w:pPr>
    </w:p>
    <w:p w14:paraId="4A2D7453">
      <w:pPr>
        <w:spacing w:line="360" w:lineRule="auto"/>
        <w:ind w:firstLine="480" w:firstLineChars="200"/>
        <w:rPr>
          <w:rFonts w:ascii="宋体" w:hAnsi="宋体"/>
          <w:sz w:val="24"/>
          <w:szCs w:val="24"/>
        </w:rPr>
      </w:pPr>
      <w:r>
        <w:rPr>
          <w:rFonts w:ascii="宋体" w:hAnsi="宋体"/>
          <w:sz w:val="24"/>
          <w:szCs w:val="24"/>
        </w:rPr>
        <w:br w:type="page"/>
      </w:r>
    </w:p>
    <w:p w14:paraId="0200954C">
      <w:pPr>
        <w:spacing w:line="360" w:lineRule="auto"/>
        <w:jc w:val="center"/>
        <w:rPr>
          <w:rFonts w:ascii="宋体" w:hAnsi="宋体"/>
          <w:sz w:val="24"/>
          <w:szCs w:val="24"/>
        </w:rPr>
      </w:pPr>
      <w:r>
        <w:rPr>
          <w:rFonts w:hint="eastAsia" w:ascii="宋体" w:hAnsi="宋体"/>
          <w:sz w:val="24"/>
          <w:szCs w:val="24"/>
        </w:rPr>
        <w:t>项目需求书</w:t>
      </w:r>
    </w:p>
    <w:p w14:paraId="3F17F0BA">
      <w:pPr>
        <w:spacing w:line="360" w:lineRule="auto"/>
        <w:ind w:firstLine="480" w:firstLineChars="200"/>
        <w:rPr>
          <w:sz w:val="24"/>
        </w:rPr>
      </w:pPr>
      <w:r>
        <w:rPr>
          <w:rFonts w:hint="eastAsia"/>
          <w:sz w:val="24"/>
        </w:rPr>
        <w:t>一、系统功能指标</w:t>
      </w:r>
    </w:p>
    <w:p w14:paraId="6C4FFF0B">
      <w:pPr>
        <w:spacing w:line="360" w:lineRule="auto"/>
        <w:ind w:firstLine="480" w:firstLineChars="200"/>
        <w:rPr>
          <w:sz w:val="24"/>
        </w:rPr>
      </w:pPr>
      <w:r>
        <w:rPr>
          <w:rFonts w:hint="eastAsia"/>
          <w:sz w:val="24"/>
        </w:rPr>
        <w:t>1.电子卖场首页</w:t>
      </w:r>
    </w:p>
    <w:p w14:paraId="1160F473">
      <w:pPr>
        <w:spacing w:line="360" w:lineRule="auto"/>
        <w:ind w:firstLine="480" w:firstLineChars="200"/>
        <w:rPr>
          <w:sz w:val="24"/>
        </w:rPr>
      </w:pPr>
      <w:r>
        <w:rPr>
          <w:rFonts w:hint="eastAsia"/>
          <w:sz w:val="24"/>
        </w:rPr>
        <w:t>电子卖场首页的整体技术设计风格、色彩，符合官方平台的特点特色，能够体现政府部门网站的庄重、大气。整个电子卖场首页布局应采用“扁平化”的布局方式，并支持随时通过配置更换网站整体色调与风格，并需要适应各类移动终端的浏览。</w:t>
      </w:r>
    </w:p>
    <w:p w14:paraId="04738523">
      <w:pPr>
        <w:spacing w:line="360" w:lineRule="auto"/>
        <w:ind w:firstLine="480" w:firstLineChars="200"/>
        <w:rPr>
          <w:sz w:val="24"/>
        </w:rPr>
      </w:pPr>
      <w:r>
        <w:rPr>
          <w:rFonts w:hint="eastAsia"/>
          <w:sz w:val="24"/>
        </w:rPr>
        <w:t>1.1电子卖场首页内容</w:t>
      </w:r>
    </w:p>
    <w:p w14:paraId="68B7BE8A">
      <w:pPr>
        <w:spacing w:line="360" w:lineRule="auto"/>
        <w:ind w:firstLine="480" w:firstLineChars="200"/>
        <w:rPr>
          <w:sz w:val="24"/>
        </w:rPr>
      </w:pPr>
      <w:r>
        <w:rPr>
          <w:rFonts w:hint="eastAsia"/>
          <w:sz w:val="24"/>
        </w:rPr>
        <w:t>电子卖场首页是统一登录、集中展示卖场栏目和服务内容的网络窗口。各采购人、供应商、运营人员、中心通过界面进行登录。首页应分为导航栏、通知公告栏、采购公告栏、商品目录栏、统计数据栏等栏目以及系统登录入口。同时系统应提供关键字检索功能。</w:t>
      </w:r>
    </w:p>
    <w:p w14:paraId="281A52FE">
      <w:pPr>
        <w:spacing w:line="360" w:lineRule="auto"/>
        <w:ind w:firstLine="480" w:firstLineChars="200"/>
        <w:rPr>
          <w:sz w:val="24"/>
        </w:rPr>
      </w:pPr>
      <w:r>
        <w:rPr>
          <w:rFonts w:hint="eastAsia"/>
          <w:sz w:val="24"/>
        </w:rPr>
        <w:t>1.2 内容发布管理</w:t>
      </w:r>
    </w:p>
    <w:p w14:paraId="30384166">
      <w:pPr>
        <w:spacing w:line="360" w:lineRule="auto"/>
        <w:ind w:firstLine="480" w:firstLineChars="200"/>
        <w:rPr>
          <w:sz w:val="24"/>
        </w:rPr>
      </w:pPr>
      <w:r>
        <w:rPr>
          <w:rFonts w:hint="eastAsia"/>
          <w:sz w:val="24"/>
        </w:rPr>
        <w:t>电子卖场首页应具备内容发布管理功能，功能要点应包括是否可设置为图片新闻、栏目内的资讯是否可设置为头条、栏目内容是否弹窗显示等。管理功能应包括编辑和发布的权限控制、资讯内容在线编辑、展现形式设置、内容的审核、内容的发布及撤销等。</w:t>
      </w:r>
    </w:p>
    <w:p w14:paraId="1BE77BD0">
      <w:pPr>
        <w:spacing w:line="360" w:lineRule="auto"/>
        <w:ind w:firstLine="480" w:firstLineChars="200"/>
        <w:rPr>
          <w:sz w:val="24"/>
        </w:rPr>
      </w:pPr>
      <w:r>
        <w:rPr>
          <w:rFonts w:hint="eastAsia"/>
          <w:sz w:val="24"/>
        </w:rPr>
        <w:t>1.3 栏目内容来源分类</w:t>
      </w:r>
    </w:p>
    <w:p w14:paraId="717835E9">
      <w:pPr>
        <w:spacing w:line="360" w:lineRule="auto"/>
        <w:ind w:firstLine="480" w:firstLineChars="200"/>
        <w:rPr>
          <w:sz w:val="24"/>
        </w:rPr>
      </w:pPr>
      <w:r>
        <w:rPr>
          <w:rFonts w:hint="eastAsia"/>
          <w:sz w:val="24"/>
        </w:rPr>
        <w:t>天津市政府采购电子卖场首页的栏目内容来源分类应包括政策咨询类、服务专栏类、公告公示类、政务公开类、在线办理类。</w:t>
      </w:r>
    </w:p>
    <w:p w14:paraId="131E0623">
      <w:pPr>
        <w:spacing w:line="360" w:lineRule="auto"/>
        <w:ind w:firstLine="480" w:firstLineChars="200"/>
        <w:rPr>
          <w:sz w:val="24"/>
        </w:rPr>
      </w:pPr>
      <w:r>
        <w:rPr>
          <w:rFonts w:hint="eastAsia"/>
          <w:sz w:val="24"/>
        </w:rPr>
        <w:t>1.4 供应商专栏</w:t>
      </w:r>
    </w:p>
    <w:p w14:paraId="17A3A569">
      <w:pPr>
        <w:spacing w:line="360" w:lineRule="auto"/>
        <w:ind w:firstLine="480" w:firstLineChars="200"/>
        <w:rPr>
          <w:sz w:val="24"/>
        </w:rPr>
      </w:pPr>
      <w:r>
        <w:rPr>
          <w:rFonts w:hint="eastAsia"/>
          <w:sz w:val="24"/>
        </w:rPr>
        <w:t>系统应设立供应商专栏，专栏应对供应商的入围条件和申请流程进行展示，同时展示已入驻成功的供应商列表，应支持公众对已入驻成功的供应商的档案进行查询。</w:t>
      </w:r>
    </w:p>
    <w:p w14:paraId="18FED39A">
      <w:pPr>
        <w:spacing w:line="360" w:lineRule="auto"/>
        <w:ind w:firstLine="480" w:firstLineChars="200"/>
        <w:rPr>
          <w:sz w:val="24"/>
        </w:rPr>
      </w:pPr>
      <w:r>
        <w:rPr>
          <w:rFonts w:hint="eastAsia"/>
          <w:sz w:val="24"/>
        </w:rPr>
        <w:t>2. 采购人主体库</w:t>
      </w:r>
    </w:p>
    <w:p w14:paraId="68E4B9EB">
      <w:pPr>
        <w:spacing w:line="360" w:lineRule="auto"/>
        <w:ind w:firstLine="480" w:firstLineChars="200"/>
        <w:rPr>
          <w:sz w:val="24"/>
        </w:rPr>
      </w:pPr>
      <w:r>
        <w:rPr>
          <w:rFonts w:hint="eastAsia"/>
          <w:sz w:val="24"/>
        </w:rPr>
        <w:t>采购人主体库应对接天津市政府采购中心的采购人主体库，共享各类各级采购人数据，通过接口方式实现采购人单点认证，实现用户账号统一，实时主体信息变更及停用，满足采购人在电子卖场中的使用需要。</w:t>
      </w:r>
    </w:p>
    <w:p w14:paraId="5768544A">
      <w:pPr>
        <w:spacing w:line="360" w:lineRule="auto"/>
        <w:ind w:firstLine="480" w:firstLineChars="200"/>
        <w:rPr>
          <w:sz w:val="24"/>
        </w:rPr>
      </w:pPr>
      <w:r>
        <w:rPr>
          <w:rFonts w:hint="eastAsia"/>
          <w:sz w:val="24"/>
        </w:rPr>
        <w:t>2.1 采购人二级账号</w:t>
      </w:r>
    </w:p>
    <w:p w14:paraId="7BE9DFAD">
      <w:pPr>
        <w:spacing w:line="360" w:lineRule="auto"/>
        <w:ind w:firstLine="480" w:firstLineChars="200"/>
        <w:rPr>
          <w:sz w:val="24"/>
        </w:rPr>
      </w:pPr>
      <w:r>
        <w:rPr>
          <w:rFonts w:hint="eastAsia"/>
          <w:sz w:val="24"/>
        </w:rPr>
        <w:t>采购人可在电子卖场系统内创建下级部门账号，下级部门即可在电子卖场中进行采购工作。同时一级账号可查看二级账号的订单。</w:t>
      </w:r>
    </w:p>
    <w:p w14:paraId="7536F628">
      <w:pPr>
        <w:spacing w:line="360" w:lineRule="auto"/>
        <w:ind w:firstLine="480" w:firstLineChars="200"/>
        <w:rPr>
          <w:sz w:val="24"/>
        </w:rPr>
      </w:pPr>
      <w:r>
        <w:rPr>
          <w:rFonts w:hint="eastAsia"/>
          <w:sz w:val="24"/>
        </w:rPr>
        <w:t>3. 协议管理</w:t>
      </w:r>
    </w:p>
    <w:p w14:paraId="34F6998F">
      <w:pPr>
        <w:spacing w:line="360" w:lineRule="auto"/>
        <w:ind w:firstLine="480" w:firstLineChars="200"/>
        <w:rPr>
          <w:sz w:val="24"/>
        </w:rPr>
      </w:pPr>
      <w:r>
        <w:rPr>
          <w:rFonts w:hint="eastAsia"/>
          <w:sz w:val="24"/>
        </w:rPr>
        <w:t>系统提供线上电商备案入围的功能并对备案入围操作进行全过程留痕记录。</w:t>
      </w:r>
    </w:p>
    <w:p w14:paraId="3030BB0B">
      <w:pPr>
        <w:spacing w:line="360" w:lineRule="auto"/>
        <w:ind w:firstLine="480" w:firstLineChars="200"/>
        <w:rPr>
          <w:sz w:val="24"/>
        </w:rPr>
      </w:pPr>
      <w:r>
        <w:rPr>
          <w:rFonts w:hint="eastAsia"/>
          <w:sz w:val="24"/>
        </w:rPr>
        <w:t>交易中心设置备案入围计划，设定备案入围时间、入围方式。供应商持CA进行入围备案资料的填写和入围备案材料的签章上传。填写提交完成后，对入围备案信息和材料进行审核，审核通过后电商入围备案完成。</w:t>
      </w:r>
    </w:p>
    <w:p w14:paraId="3ED47620">
      <w:pPr>
        <w:spacing w:line="360" w:lineRule="auto"/>
        <w:ind w:firstLine="480" w:firstLineChars="200"/>
        <w:rPr>
          <w:sz w:val="24"/>
        </w:rPr>
      </w:pPr>
      <w:r>
        <w:rPr>
          <w:rFonts w:hint="eastAsia"/>
          <w:sz w:val="24"/>
        </w:rPr>
        <w:t>电子卖场供应商日常状态分为正常、暂停、禁止等3种状态。暂停：暂停服务一定期限后可恢复为正常。禁止：不再为该电子卖场供应商提供服务，且不得恢复为正常状态。</w:t>
      </w:r>
    </w:p>
    <w:p w14:paraId="12E5552D">
      <w:pPr>
        <w:spacing w:line="360" w:lineRule="auto"/>
        <w:ind w:firstLine="480" w:firstLineChars="200"/>
        <w:rPr>
          <w:sz w:val="24"/>
        </w:rPr>
      </w:pPr>
      <w:r>
        <w:rPr>
          <w:rFonts w:hint="eastAsia"/>
          <w:sz w:val="24"/>
        </w:rPr>
        <w:t>4. 商品库管理</w:t>
      </w:r>
    </w:p>
    <w:p w14:paraId="308E2E70">
      <w:pPr>
        <w:spacing w:line="360" w:lineRule="auto"/>
        <w:ind w:firstLine="480" w:firstLineChars="200"/>
        <w:rPr>
          <w:sz w:val="24"/>
        </w:rPr>
      </w:pPr>
      <w:r>
        <w:rPr>
          <w:rFonts w:hint="eastAsia"/>
          <w:sz w:val="24"/>
        </w:rPr>
        <w:t>系统可支持电商通过电商自有平台接入的方式完成商品的推送上架也可支持从系统内录入两种方式的商品上架。</w:t>
      </w:r>
    </w:p>
    <w:p w14:paraId="0B690081">
      <w:pPr>
        <w:spacing w:line="360" w:lineRule="auto"/>
        <w:ind w:firstLine="480" w:firstLineChars="200"/>
        <w:rPr>
          <w:sz w:val="24"/>
        </w:rPr>
      </w:pPr>
      <w:r>
        <w:rPr>
          <w:rFonts w:hint="eastAsia"/>
          <w:sz w:val="24"/>
        </w:rPr>
        <w:t>卖场应具备标准商品库。实现卖场商品门类齐全，标准统一的商品库，品目、品牌、参数、商品、商品配件等数据进行结构化处理。商品库通过数据处理，能够达到计算机自动识别和比对的效果。</w:t>
      </w:r>
    </w:p>
    <w:p w14:paraId="17F5B22B">
      <w:pPr>
        <w:spacing w:line="360" w:lineRule="auto"/>
        <w:ind w:firstLine="480" w:firstLineChars="200"/>
        <w:rPr>
          <w:sz w:val="24"/>
        </w:rPr>
      </w:pPr>
      <w:r>
        <w:rPr>
          <w:rFonts w:hint="eastAsia"/>
          <w:sz w:val="24"/>
        </w:rPr>
        <w:t>商品库管理应具备品目、品牌、参数、商品、商品配件等信息的维护管理功能，同时需要具有商品审核、商品上下架等操作管理功能。</w:t>
      </w:r>
    </w:p>
    <w:p w14:paraId="12B2AC0A">
      <w:pPr>
        <w:spacing w:line="360" w:lineRule="auto"/>
        <w:ind w:firstLine="480" w:firstLineChars="200"/>
        <w:rPr>
          <w:sz w:val="24"/>
        </w:rPr>
      </w:pPr>
      <w:r>
        <w:rPr>
          <w:rFonts w:hint="eastAsia"/>
          <w:sz w:val="24"/>
        </w:rPr>
        <w:t>商品库应实现进入后台管理的运营管理，能够在商品库中进行商品审核、价格监测等管理。如卖场价格超过商品合理价可对其进行下架。能够进行参数配置管理、品目管理、商品行情管理等管理。</w:t>
      </w:r>
    </w:p>
    <w:p w14:paraId="2F9904AD">
      <w:pPr>
        <w:spacing w:line="360" w:lineRule="auto"/>
        <w:ind w:firstLine="480" w:firstLineChars="200"/>
        <w:rPr>
          <w:sz w:val="24"/>
        </w:rPr>
      </w:pPr>
      <w:r>
        <w:rPr>
          <w:rFonts w:hint="eastAsia"/>
          <w:sz w:val="24"/>
        </w:rPr>
        <w:t>针对商品的操作需进行全过程留痕记录。</w:t>
      </w:r>
    </w:p>
    <w:p w14:paraId="6B747039">
      <w:pPr>
        <w:spacing w:line="360" w:lineRule="auto"/>
        <w:ind w:firstLine="480" w:firstLineChars="200"/>
        <w:rPr>
          <w:sz w:val="24"/>
        </w:rPr>
      </w:pPr>
      <w:r>
        <w:rPr>
          <w:rFonts w:hint="eastAsia"/>
          <w:sz w:val="24"/>
        </w:rPr>
        <w:t>4.1 商品数据来源</w:t>
      </w:r>
    </w:p>
    <w:p w14:paraId="05B7628F">
      <w:pPr>
        <w:spacing w:line="360" w:lineRule="auto"/>
        <w:ind w:firstLine="480" w:firstLineChars="200"/>
        <w:rPr>
          <w:sz w:val="24"/>
        </w:rPr>
      </w:pPr>
      <w:r>
        <w:rPr>
          <w:rFonts w:hint="eastAsia"/>
          <w:sz w:val="24"/>
        </w:rPr>
        <w:t>系统应支持人工录入商品和通过接口对接方式推送商品的功能。按照标准化商品属性要求，应支持其自行维护商品信息。录入商品的信息包括但不限于产品、参数、图文、标签等数据内容。</w:t>
      </w:r>
    </w:p>
    <w:p w14:paraId="23EE21F4">
      <w:pPr>
        <w:spacing w:line="360" w:lineRule="auto"/>
        <w:ind w:firstLine="480" w:firstLineChars="200"/>
        <w:rPr>
          <w:sz w:val="24"/>
        </w:rPr>
      </w:pPr>
      <w:r>
        <w:rPr>
          <w:rFonts w:hint="eastAsia"/>
          <w:sz w:val="24"/>
        </w:rPr>
        <w:t>4.2 商品查询</w:t>
      </w:r>
    </w:p>
    <w:p w14:paraId="47E4CD23">
      <w:pPr>
        <w:spacing w:line="360" w:lineRule="auto"/>
        <w:ind w:firstLine="480" w:firstLineChars="200"/>
        <w:rPr>
          <w:sz w:val="24"/>
        </w:rPr>
      </w:pPr>
      <w:r>
        <w:rPr>
          <w:rFonts w:hint="eastAsia"/>
          <w:sz w:val="24"/>
        </w:rPr>
        <w:t>系统应提供商品查询功能，供应商进入我的商品后，应支持显示商品列表，包括商品分类、商品名称、品牌、型号、价格、状态等信息。要求能按照状态（初编辑、待审核、已上架、已下架）、品牌、型号、名称等条件进行多维度查询。</w:t>
      </w:r>
    </w:p>
    <w:p w14:paraId="0F6C6516">
      <w:pPr>
        <w:spacing w:line="360" w:lineRule="auto"/>
        <w:ind w:firstLine="480" w:firstLineChars="200"/>
        <w:rPr>
          <w:sz w:val="24"/>
        </w:rPr>
      </w:pPr>
      <w:r>
        <w:rPr>
          <w:rFonts w:hint="eastAsia"/>
          <w:sz w:val="24"/>
        </w:rPr>
        <w:t>4.3 商品新增</w:t>
      </w:r>
    </w:p>
    <w:p w14:paraId="5069C0B0">
      <w:pPr>
        <w:spacing w:line="360" w:lineRule="auto"/>
        <w:ind w:firstLine="480" w:firstLineChars="200"/>
        <w:rPr>
          <w:sz w:val="24"/>
        </w:rPr>
      </w:pPr>
      <w:r>
        <w:rPr>
          <w:rFonts w:hint="eastAsia"/>
          <w:sz w:val="24"/>
        </w:rPr>
        <w:t>系统应支持供应商在系统中新增商品。</w:t>
      </w:r>
    </w:p>
    <w:p w14:paraId="774D432E">
      <w:pPr>
        <w:spacing w:line="360" w:lineRule="auto"/>
        <w:ind w:firstLine="480" w:firstLineChars="200"/>
        <w:rPr>
          <w:sz w:val="24"/>
        </w:rPr>
      </w:pPr>
      <w:r>
        <w:rPr>
          <w:rFonts w:hint="eastAsia"/>
          <w:sz w:val="24"/>
        </w:rPr>
        <w:t>供应商应按系统提供的表单进行商品信息的录入，包括该型号商品的：商品名称、商品品牌、商品类目、商品参数、政策属性等。如录入商品为绿色、节能、环保类型的商品需要上传相应的编号和证书，以便采购人进行核验，此类型商品会在商品详情页展示对应的标签。</w:t>
      </w:r>
    </w:p>
    <w:p w14:paraId="60932EE5">
      <w:pPr>
        <w:spacing w:line="360" w:lineRule="auto"/>
        <w:ind w:firstLine="480" w:firstLineChars="200"/>
        <w:rPr>
          <w:sz w:val="24"/>
        </w:rPr>
      </w:pPr>
      <w:r>
        <w:rPr>
          <w:rFonts w:hint="eastAsia"/>
          <w:sz w:val="24"/>
        </w:rPr>
        <w:t>4.4 商品修改</w:t>
      </w:r>
    </w:p>
    <w:p w14:paraId="666FD2DC">
      <w:pPr>
        <w:spacing w:line="360" w:lineRule="auto"/>
        <w:ind w:firstLine="480" w:firstLineChars="200"/>
        <w:rPr>
          <w:sz w:val="24"/>
        </w:rPr>
      </w:pPr>
      <w:r>
        <w:rPr>
          <w:rFonts w:hint="eastAsia"/>
          <w:sz w:val="24"/>
        </w:rPr>
        <w:t>系统应支持供应商在系统内对商品信息进行修改。供应商需要先将商品下架，才可修改商品详细参数。</w:t>
      </w:r>
    </w:p>
    <w:p w14:paraId="79E6706E">
      <w:pPr>
        <w:spacing w:line="360" w:lineRule="auto"/>
        <w:ind w:firstLine="480" w:firstLineChars="200"/>
        <w:rPr>
          <w:sz w:val="24"/>
        </w:rPr>
      </w:pPr>
      <w:r>
        <w:rPr>
          <w:rFonts w:hint="eastAsia"/>
          <w:sz w:val="24"/>
        </w:rPr>
        <w:t>4.5 商品上下架</w:t>
      </w:r>
    </w:p>
    <w:p w14:paraId="73549FE4">
      <w:pPr>
        <w:spacing w:line="360" w:lineRule="auto"/>
        <w:ind w:firstLine="480" w:firstLineChars="200"/>
        <w:rPr>
          <w:sz w:val="24"/>
        </w:rPr>
      </w:pPr>
      <w:r>
        <w:rPr>
          <w:rFonts w:hint="eastAsia"/>
          <w:sz w:val="24"/>
        </w:rPr>
        <w:t>系统应支持供应商对已经上架的商品进行下架处理。</w:t>
      </w:r>
    </w:p>
    <w:p w14:paraId="5F39451C">
      <w:pPr>
        <w:spacing w:line="360" w:lineRule="auto"/>
        <w:ind w:firstLine="480" w:firstLineChars="200"/>
        <w:rPr>
          <w:sz w:val="24"/>
        </w:rPr>
      </w:pPr>
      <w:r>
        <w:rPr>
          <w:rFonts w:hint="eastAsia"/>
          <w:sz w:val="24"/>
        </w:rPr>
        <w:t>4.6 品牌管理</w:t>
      </w:r>
    </w:p>
    <w:p w14:paraId="0E3BA72A">
      <w:pPr>
        <w:spacing w:line="360" w:lineRule="auto"/>
        <w:ind w:firstLine="480" w:firstLineChars="200"/>
        <w:rPr>
          <w:sz w:val="24"/>
        </w:rPr>
      </w:pPr>
      <w:r>
        <w:rPr>
          <w:rFonts w:hint="eastAsia"/>
          <w:sz w:val="24"/>
        </w:rPr>
        <w:t>系统应支持服务人员根据品牌申请资料，在系统中维护品牌信息。品牌信息应支持和品目进行关联，在供应商新增商品时供其进行选择。</w:t>
      </w:r>
    </w:p>
    <w:p w14:paraId="77726BC8">
      <w:pPr>
        <w:spacing w:line="360" w:lineRule="auto"/>
        <w:ind w:firstLine="480" w:firstLineChars="200"/>
        <w:rPr>
          <w:sz w:val="24"/>
        </w:rPr>
      </w:pPr>
      <w:r>
        <w:rPr>
          <w:rFonts w:hint="eastAsia"/>
          <w:sz w:val="24"/>
        </w:rPr>
        <w:t>4.7 品目管理</w:t>
      </w:r>
    </w:p>
    <w:p w14:paraId="3710AA8B">
      <w:pPr>
        <w:spacing w:line="360" w:lineRule="auto"/>
        <w:ind w:firstLine="480" w:firstLineChars="200"/>
        <w:rPr>
          <w:sz w:val="24"/>
        </w:rPr>
      </w:pPr>
      <w:r>
        <w:rPr>
          <w:rFonts w:hint="eastAsia"/>
          <w:sz w:val="24"/>
        </w:rPr>
        <w:t>系统应支持服务人员根据主管部门的要求，维护电子卖场品目信息。品目应支持在前台按照三级目录进行展示。</w:t>
      </w:r>
    </w:p>
    <w:p w14:paraId="1B2C34F2">
      <w:pPr>
        <w:spacing w:line="360" w:lineRule="auto"/>
        <w:ind w:firstLine="480" w:firstLineChars="200"/>
        <w:rPr>
          <w:sz w:val="24"/>
        </w:rPr>
      </w:pPr>
      <w:r>
        <w:rPr>
          <w:rFonts w:hint="eastAsia"/>
          <w:sz w:val="24"/>
        </w:rPr>
        <w:t>5. 采购执行</w:t>
      </w:r>
    </w:p>
    <w:p w14:paraId="3BD0A7AB">
      <w:pPr>
        <w:spacing w:line="360" w:lineRule="auto"/>
        <w:ind w:firstLine="480" w:firstLineChars="200"/>
        <w:rPr>
          <w:sz w:val="24"/>
        </w:rPr>
      </w:pPr>
      <w:r>
        <w:rPr>
          <w:rFonts w:hint="eastAsia"/>
          <w:sz w:val="24"/>
        </w:rPr>
        <w:t>采购执行主要用于对电子卖场日常执行采购执行（含交易环节）的操作进行管理。应包含以下功能：</w:t>
      </w:r>
    </w:p>
    <w:p w14:paraId="0AA3E912">
      <w:pPr>
        <w:spacing w:line="360" w:lineRule="auto"/>
        <w:ind w:firstLine="480" w:firstLineChars="200"/>
        <w:rPr>
          <w:sz w:val="24"/>
        </w:rPr>
      </w:pPr>
      <w:r>
        <w:rPr>
          <w:rFonts w:hint="eastAsia"/>
          <w:sz w:val="24"/>
        </w:rPr>
        <w:t>5.1 商品列表页</w:t>
      </w:r>
    </w:p>
    <w:p w14:paraId="01C156D4">
      <w:pPr>
        <w:spacing w:line="360" w:lineRule="auto"/>
        <w:ind w:firstLine="480" w:firstLineChars="200"/>
        <w:rPr>
          <w:sz w:val="24"/>
        </w:rPr>
      </w:pPr>
      <w:r>
        <w:rPr>
          <w:rFonts w:hint="eastAsia"/>
          <w:sz w:val="24"/>
        </w:rPr>
        <w:t>系统应支持对电子卖场内所有商品的查询，支持按关键字、拆字检索、按品牌、按型号、按价格区间等的多种查询检索。同时应支持与所查询商品同类型或相似商品的自动推荐功能。</w:t>
      </w:r>
    </w:p>
    <w:p w14:paraId="2FC7F206">
      <w:pPr>
        <w:spacing w:line="360" w:lineRule="auto"/>
        <w:ind w:firstLine="480" w:firstLineChars="200"/>
        <w:rPr>
          <w:sz w:val="24"/>
        </w:rPr>
      </w:pPr>
      <w:r>
        <w:rPr>
          <w:rFonts w:hint="eastAsia"/>
          <w:sz w:val="24"/>
        </w:rPr>
        <w:t>商品列表应显示每款商品的图片、名称、最低价等，数据的显示可以根据具体情况而定。</w:t>
      </w:r>
    </w:p>
    <w:p w14:paraId="2F8F36E3">
      <w:pPr>
        <w:spacing w:line="360" w:lineRule="auto"/>
        <w:ind w:firstLine="480" w:firstLineChars="200"/>
        <w:rPr>
          <w:sz w:val="24"/>
        </w:rPr>
      </w:pPr>
      <w:r>
        <w:rPr>
          <w:rFonts w:hint="eastAsia"/>
          <w:sz w:val="24"/>
        </w:rPr>
        <w:t>5.2 商品对比</w:t>
      </w:r>
    </w:p>
    <w:p w14:paraId="26132ECE">
      <w:pPr>
        <w:spacing w:line="360" w:lineRule="auto"/>
        <w:ind w:firstLine="480" w:firstLineChars="200"/>
        <w:rPr>
          <w:sz w:val="24"/>
        </w:rPr>
      </w:pPr>
      <w:r>
        <w:rPr>
          <w:rFonts w:hint="eastAsia"/>
          <w:sz w:val="24"/>
        </w:rPr>
        <w:t>系统应支持选择同类商品中的不同款商品进行比较，比较内容包含商品图片、供应商、报价、关键参数对比。其中参数对比应根据预设的品目属性进行对比。应在列表中添加“对比”按钮，或者在商品详细页面添加“加入对比”按钮，实现将要对比的商品放入对比列表。</w:t>
      </w:r>
    </w:p>
    <w:p w14:paraId="13A1DB83">
      <w:pPr>
        <w:spacing w:line="360" w:lineRule="auto"/>
        <w:ind w:firstLine="480" w:firstLineChars="200"/>
        <w:rPr>
          <w:sz w:val="24"/>
        </w:rPr>
      </w:pPr>
      <w:r>
        <w:rPr>
          <w:rFonts w:hint="eastAsia"/>
          <w:sz w:val="24"/>
        </w:rPr>
        <w:t>5.3 商品详情页</w:t>
      </w:r>
    </w:p>
    <w:p w14:paraId="5725AF6A">
      <w:pPr>
        <w:spacing w:line="360" w:lineRule="auto"/>
        <w:ind w:firstLine="480" w:firstLineChars="200"/>
        <w:rPr>
          <w:sz w:val="24"/>
        </w:rPr>
      </w:pPr>
      <w:r>
        <w:rPr>
          <w:rFonts w:hint="eastAsia"/>
          <w:sz w:val="24"/>
        </w:rPr>
        <w:t>商品详情页应包括商品主体信息、商品详情、规格参数、用户评价、成交记录、同款对比、同类型商品、供应商信息和意见建议。</w:t>
      </w:r>
    </w:p>
    <w:p w14:paraId="7A53D0C7">
      <w:pPr>
        <w:spacing w:line="360" w:lineRule="auto"/>
        <w:ind w:firstLine="480" w:firstLineChars="200"/>
        <w:rPr>
          <w:sz w:val="24"/>
        </w:rPr>
      </w:pPr>
      <w:r>
        <w:rPr>
          <w:rFonts w:hint="eastAsia"/>
          <w:sz w:val="24"/>
        </w:rPr>
        <w:t>5.4 购物车</w:t>
      </w:r>
    </w:p>
    <w:p w14:paraId="1040DC6C">
      <w:pPr>
        <w:spacing w:line="360" w:lineRule="auto"/>
        <w:ind w:firstLine="480" w:firstLineChars="200"/>
        <w:rPr>
          <w:sz w:val="24"/>
        </w:rPr>
      </w:pPr>
      <w:r>
        <w:rPr>
          <w:rFonts w:hint="eastAsia"/>
          <w:sz w:val="24"/>
        </w:rPr>
        <w:t>系统应支持采购人在商品详情页面点击“加入购物车”按钮，将商品加入到购物车中。购物车应展示所选商品的明细情况、缩略图、采购单价及数量。</w:t>
      </w:r>
    </w:p>
    <w:p w14:paraId="1555F04A">
      <w:pPr>
        <w:spacing w:line="360" w:lineRule="auto"/>
        <w:ind w:firstLine="480" w:firstLineChars="200"/>
        <w:rPr>
          <w:sz w:val="24"/>
        </w:rPr>
      </w:pPr>
      <w:r>
        <w:rPr>
          <w:rFonts w:hint="eastAsia"/>
          <w:sz w:val="24"/>
        </w:rPr>
        <w:t>加入购物车内的商品应支持分组购买，支持供应商进行整体勾选下单。</w:t>
      </w:r>
    </w:p>
    <w:p w14:paraId="2E4DCF75">
      <w:pPr>
        <w:spacing w:line="360" w:lineRule="auto"/>
        <w:ind w:firstLine="480" w:firstLineChars="200"/>
        <w:rPr>
          <w:sz w:val="24"/>
        </w:rPr>
      </w:pPr>
      <w:r>
        <w:rPr>
          <w:rFonts w:hint="eastAsia"/>
          <w:sz w:val="24"/>
        </w:rPr>
        <w:t>购物车应主要包括以下功能：</w:t>
      </w:r>
    </w:p>
    <w:p w14:paraId="6C8B4ED3">
      <w:pPr>
        <w:spacing w:line="360" w:lineRule="auto"/>
        <w:ind w:firstLine="480" w:firstLineChars="200"/>
        <w:rPr>
          <w:sz w:val="24"/>
        </w:rPr>
      </w:pPr>
      <w:r>
        <w:rPr>
          <w:rFonts w:hint="eastAsia"/>
          <w:sz w:val="24"/>
        </w:rPr>
        <w:t>（1）信息展示，用于展示该用户加入购物车的商品信息，由商品所属供应商、商品信息、单价、数量、总价、操作组成。商品自动归类至同一供应商下。</w:t>
      </w:r>
    </w:p>
    <w:p w14:paraId="43F768B9">
      <w:pPr>
        <w:spacing w:line="360" w:lineRule="auto"/>
        <w:ind w:firstLine="480" w:firstLineChars="200"/>
        <w:rPr>
          <w:sz w:val="24"/>
        </w:rPr>
      </w:pPr>
      <w:r>
        <w:rPr>
          <w:rFonts w:hint="eastAsia"/>
          <w:sz w:val="24"/>
        </w:rPr>
        <w:t>（2）提交结算，购物车中勾选相应的商品后，可进行订单提交。</w:t>
      </w:r>
    </w:p>
    <w:p w14:paraId="6666F4AB">
      <w:pPr>
        <w:spacing w:line="360" w:lineRule="auto"/>
        <w:ind w:firstLine="480" w:firstLineChars="200"/>
        <w:rPr>
          <w:sz w:val="24"/>
        </w:rPr>
      </w:pPr>
      <w:r>
        <w:rPr>
          <w:rFonts w:hint="eastAsia"/>
          <w:sz w:val="24"/>
        </w:rPr>
        <w:t>（3）数量调整，应支持对购物车中商品的数量进行调整（增加或减少）。</w:t>
      </w:r>
    </w:p>
    <w:p w14:paraId="483E5435">
      <w:pPr>
        <w:spacing w:line="360" w:lineRule="auto"/>
        <w:ind w:firstLine="480" w:firstLineChars="200"/>
        <w:rPr>
          <w:sz w:val="24"/>
        </w:rPr>
      </w:pPr>
      <w:r>
        <w:rPr>
          <w:rFonts w:hint="eastAsia"/>
          <w:sz w:val="24"/>
        </w:rPr>
        <w:t>（4）移至收藏，应支持通过添加到我的收藏操作，将商品添加至用户的收藏商品列表中。</w:t>
      </w:r>
    </w:p>
    <w:p w14:paraId="601DA373">
      <w:pPr>
        <w:spacing w:line="360" w:lineRule="auto"/>
        <w:ind w:firstLine="480" w:firstLineChars="200"/>
        <w:rPr>
          <w:sz w:val="24"/>
        </w:rPr>
      </w:pPr>
      <w:r>
        <w:rPr>
          <w:rFonts w:hint="eastAsia"/>
          <w:sz w:val="24"/>
        </w:rPr>
        <w:t>（5）移除购物车，应支持通过删除操作，将相应商品从购物车中移除。</w:t>
      </w:r>
    </w:p>
    <w:p w14:paraId="2B677BD6">
      <w:pPr>
        <w:spacing w:line="360" w:lineRule="auto"/>
        <w:ind w:firstLine="480" w:firstLineChars="200"/>
        <w:rPr>
          <w:sz w:val="24"/>
        </w:rPr>
      </w:pPr>
      <w:r>
        <w:rPr>
          <w:rFonts w:hint="eastAsia"/>
          <w:sz w:val="24"/>
        </w:rPr>
        <w:t>5.5 发票信息管理</w:t>
      </w:r>
    </w:p>
    <w:p w14:paraId="0CCF241D">
      <w:pPr>
        <w:spacing w:line="360" w:lineRule="auto"/>
        <w:ind w:firstLine="480" w:firstLineChars="200"/>
        <w:rPr>
          <w:sz w:val="24"/>
        </w:rPr>
      </w:pPr>
      <w:r>
        <w:rPr>
          <w:rFonts w:hint="eastAsia"/>
          <w:sz w:val="24"/>
        </w:rPr>
        <w:t>系统应支持采购人在后台维护单位发票信息，应支持维护多条发票信息，并支持设置默认发票。可以实现同类商品开具一张发票。</w:t>
      </w:r>
    </w:p>
    <w:p w14:paraId="7D1C016E">
      <w:pPr>
        <w:spacing w:line="360" w:lineRule="auto"/>
        <w:ind w:firstLine="480" w:firstLineChars="200"/>
        <w:rPr>
          <w:sz w:val="24"/>
        </w:rPr>
      </w:pPr>
      <w:r>
        <w:rPr>
          <w:rFonts w:hint="eastAsia"/>
          <w:sz w:val="24"/>
        </w:rPr>
        <w:t>5.6 收货地址管理</w:t>
      </w:r>
    </w:p>
    <w:p w14:paraId="3A61C448">
      <w:pPr>
        <w:spacing w:line="360" w:lineRule="auto"/>
        <w:ind w:firstLine="480" w:firstLineChars="200"/>
        <w:rPr>
          <w:sz w:val="24"/>
        </w:rPr>
      </w:pPr>
      <w:r>
        <w:rPr>
          <w:rFonts w:hint="eastAsia"/>
          <w:sz w:val="24"/>
        </w:rPr>
        <w:t>系统应支持采购人在后台维护本单位的收货地址信息，应支持采购人维护多条收货地址，对于收货地址还应支持采购人做名称标记。</w:t>
      </w:r>
    </w:p>
    <w:p w14:paraId="6B632CF7">
      <w:pPr>
        <w:spacing w:line="360" w:lineRule="auto"/>
        <w:ind w:firstLine="480" w:firstLineChars="200"/>
        <w:rPr>
          <w:sz w:val="24"/>
        </w:rPr>
      </w:pPr>
      <w:r>
        <w:rPr>
          <w:rFonts w:hint="eastAsia"/>
          <w:sz w:val="24"/>
        </w:rPr>
        <w:t>5.7 采购合同管理</w:t>
      </w:r>
    </w:p>
    <w:p w14:paraId="0CE6E9CF">
      <w:pPr>
        <w:spacing w:line="360" w:lineRule="auto"/>
        <w:ind w:firstLine="480" w:firstLineChars="200"/>
        <w:rPr>
          <w:sz w:val="24"/>
        </w:rPr>
      </w:pPr>
      <w:r>
        <w:rPr>
          <w:rFonts w:hint="eastAsia"/>
          <w:sz w:val="24"/>
        </w:rPr>
        <w:t>系统应支持采购人与供应商对采购执行（含交易环节）生成的合同进行查看、确认等功能。应支持网格化、模板化合同文件，方便采购主体以填空的方式填写合同信息。</w:t>
      </w:r>
    </w:p>
    <w:p w14:paraId="4A50C9FF">
      <w:pPr>
        <w:spacing w:line="360" w:lineRule="auto"/>
        <w:ind w:firstLine="480" w:firstLineChars="200"/>
        <w:rPr>
          <w:sz w:val="24"/>
        </w:rPr>
      </w:pPr>
      <w:r>
        <w:rPr>
          <w:rFonts w:hint="eastAsia"/>
          <w:sz w:val="24"/>
        </w:rPr>
        <w:t>6. 采购方式管理</w:t>
      </w:r>
    </w:p>
    <w:p w14:paraId="28185036">
      <w:pPr>
        <w:spacing w:line="360" w:lineRule="auto"/>
        <w:ind w:firstLine="480" w:firstLineChars="200"/>
        <w:rPr>
          <w:sz w:val="24"/>
        </w:rPr>
      </w:pPr>
      <w:r>
        <w:rPr>
          <w:rFonts w:hint="eastAsia"/>
          <w:sz w:val="24"/>
        </w:rPr>
        <w:t>统一天津市政府采购电子卖场的采购方式。以政府采购的宗旨及原则为基础、根据政府采购相关法律法规和政府集中采购目录及限额标准，参照财政部拟出台的政策要求，实现电子直购方式的采购，通过嵌入采购规则、操作规程和范本文本，操作指引提示，提高线上采购质量效益，并对卖场内的交易全过程进行记录。</w:t>
      </w:r>
    </w:p>
    <w:p w14:paraId="2660B668">
      <w:pPr>
        <w:spacing w:line="360" w:lineRule="auto"/>
        <w:ind w:firstLine="480" w:firstLineChars="200"/>
        <w:rPr>
          <w:sz w:val="24"/>
        </w:rPr>
      </w:pPr>
      <w:r>
        <w:rPr>
          <w:rFonts w:hint="eastAsia"/>
          <w:sz w:val="24"/>
        </w:rPr>
        <w:t>6.1 电子直购</w:t>
      </w:r>
    </w:p>
    <w:p w14:paraId="06DCFDF9">
      <w:pPr>
        <w:spacing w:line="360" w:lineRule="auto"/>
        <w:ind w:firstLine="480" w:firstLineChars="200"/>
        <w:rPr>
          <w:sz w:val="24"/>
        </w:rPr>
      </w:pPr>
      <w:r>
        <w:rPr>
          <w:rFonts w:hint="eastAsia"/>
          <w:sz w:val="24"/>
        </w:rPr>
        <w:t>采购人通过选择商品加入购物车，直接下单给供应商的模式。</w:t>
      </w:r>
    </w:p>
    <w:p w14:paraId="6D825964">
      <w:pPr>
        <w:spacing w:line="360" w:lineRule="auto"/>
        <w:ind w:firstLine="480" w:firstLineChars="200"/>
        <w:rPr>
          <w:sz w:val="24"/>
        </w:rPr>
      </w:pPr>
      <w:r>
        <w:rPr>
          <w:rFonts w:hint="eastAsia"/>
          <w:sz w:val="24"/>
        </w:rPr>
        <w:t>电子直购应支持采购人选择商品，可查看商品价格、政策属性、商品详情、规格参数、经销商、成交记录、商品评价等；支持采购人查看商品时，系统显示相似商品、同款商品的相关采购价格、自营价格。支持采购人将选择的商品加入购物车，在购物车中可采用直接订购方式采购。支持采购人查看订单详情，订单详情记录交易过程各环节操作时间、操作单位、操作用户及操作内容。</w:t>
      </w:r>
    </w:p>
    <w:p w14:paraId="20D8BBBC">
      <w:pPr>
        <w:spacing w:line="360" w:lineRule="auto"/>
        <w:ind w:firstLine="480" w:firstLineChars="200"/>
        <w:rPr>
          <w:sz w:val="24"/>
        </w:rPr>
      </w:pPr>
      <w:r>
        <w:rPr>
          <w:rFonts w:hint="eastAsia"/>
          <w:sz w:val="24"/>
        </w:rPr>
        <w:t>6.2 网上竞价</w:t>
      </w:r>
    </w:p>
    <w:p w14:paraId="6A037917">
      <w:pPr>
        <w:spacing w:line="360" w:lineRule="auto"/>
        <w:ind w:firstLine="480" w:firstLineChars="200"/>
        <w:rPr>
          <w:sz w:val="24"/>
        </w:rPr>
      </w:pPr>
      <w:r>
        <w:rPr>
          <w:rFonts w:hint="eastAsia"/>
          <w:sz w:val="24"/>
        </w:rPr>
        <w:t>采购人通过选取卖场内某件存在的商品生成竞价单，自主发布电子竞价公告，供应商参与报价，报价结束，系统自动按照报价由低到高顺序排列，采购人确定成交供应商并生成订单。</w:t>
      </w:r>
    </w:p>
    <w:p w14:paraId="559BCB64">
      <w:pPr>
        <w:spacing w:line="360" w:lineRule="auto"/>
        <w:ind w:firstLine="480" w:firstLineChars="200"/>
        <w:rPr>
          <w:sz w:val="24"/>
        </w:rPr>
      </w:pPr>
      <w:r>
        <w:rPr>
          <w:rFonts w:hint="eastAsia"/>
          <w:sz w:val="24"/>
        </w:rPr>
        <w:t>6.3 网上询价</w:t>
      </w:r>
    </w:p>
    <w:p w14:paraId="182D2054">
      <w:pPr>
        <w:spacing w:line="360" w:lineRule="auto"/>
        <w:ind w:firstLine="480" w:firstLineChars="200"/>
        <w:rPr>
          <w:sz w:val="24"/>
        </w:rPr>
      </w:pPr>
      <w:r>
        <w:rPr>
          <w:rFonts w:hint="eastAsia"/>
          <w:sz w:val="24"/>
        </w:rPr>
        <w:t>不基于商品库上架商品的电子竞价也称电子询价，适用于采购单位购买电子卖场没有的产品型号，且采购需求相对明确，技术参数指标完整的通用货物类品目。</w:t>
      </w:r>
    </w:p>
    <w:p w14:paraId="1D51A87B">
      <w:pPr>
        <w:spacing w:line="360" w:lineRule="auto"/>
        <w:ind w:firstLine="480" w:firstLineChars="200"/>
        <w:rPr>
          <w:sz w:val="24"/>
        </w:rPr>
      </w:pPr>
      <w:r>
        <w:rPr>
          <w:rFonts w:hint="eastAsia"/>
          <w:sz w:val="24"/>
        </w:rPr>
        <w:t>6.4 服务超市</w:t>
      </w:r>
    </w:p>
    <w:p w14:paraId="28555EB5">
      <w:pPr>
        <w:spacing w:line="360" w:lineRule="auto"/>
        <w:ind w:firstLine="480" w:firstLineChars="200"/>
        <w:rPr>
          <w:sz w:val="24"/>
        </w:rPr>
      </w:pPr>
      <w:r>
        <w:rPr>
          <w:rFonts w:hint="eastAsia"/>
          <w:sz w:val="24"/>
        </w:rPr>
        <w:t>服务超市可进行服务供应商的招募及入围。同时为提高采购人工作效率，规范服务采购内容标准，系统设置服务品目，并逐步进行服务品目的标准化。采购人可在系统内完成服务订单的直接采购。</w:t>
      </w:r>
    </w:p>
    <w:p w14:paraId="23EC05B7">
      <w:pPr>
        <w:spacing w:line="360" w:lineRule="auto"/>
        <w:ind w:firstLine="480" w:firstLineChars="200"/>
        <w:rPr>
          <w:sz w:val="24"/>
        </w:rPr>
      </w:pPr>
      <w:r>
        <w:rPr>
          <w:rFonts w:hint="eastAsia"/>
          <w:sz w:val="24"/>
        </w:rPr>
        <w:t>6.5 服务费对账功能</w:t>
      </w:r>
    </w:p>
    <w:p w14:paraId="6FFCA4B0">
      <w:pPr>
        <w:spacing w:line="360" w:lineRule="auto"/>
        <w:ind w:firstLine="480" w:firstLineChars="200"/>
        <w:rPr>
          <w:sz w:val="24"/>
        </w:rPr>
      </w:pPr>
      <w:r>
        <w:rPr>
          <w:rFonts w:hint="eastAsia"/>
          <w:sz w:val="24"/>
        </w:rPr>
        <w:t>系统可根据卖场内订单创建服务费账单，经中心与电商双方对账确认后形成服务费账单。</w:t>
      </w:r>
    </w:p>
    <w:p w14:paraId="788383B5">
      <w:pPr>
        <w:spacing w:line="360" w:lineRule="auto"/>
        <w:ind w:firstLine="480" w:firstLineChars="200"/>
        <w:rPr>
          <w:sz w:val="24"/>
        </w:rPr>
      </w:pPr>
      <w:r>
        <w:rPr>
          <w:rFonts w:hint="eastAsia"/>
          <w:sz w:val="24"/>
        </w:rPr>
        <w:t>中心创建对账计划，选择时间段、服务费比率等信息后，系统自动形成对账单和对账单明细。对账单明细中包含各家电商时间段内需收费的订单汇总及明细。中心点击发送对账单后，各供应商登录系统进行对账单确认。核实无误的从系统中点击对账确认。对于明细中存在异议的订单，可进行存疑处理提交，中心对存疑订单进行审核，审核通过的存疑订单不纳入本次对账中，自动划至下次对账继续处理。所有供应商对于账单分别确认后，系统可导出对应供应商的订单总额、服务费总额、发票信息等信息。</w:t>
      </w:r>
    </w:p>
    <w:p w14:paraId="3655AE3B">
      <w:pPr>
        <w:spacing w:line="360" w:lineRule="auto"/>
        <w:ind w:firstLine="480" w:firstLineChars="200"/>
        <w:rPr>
          <w:sz w:val="24"/>
        </w:rPr>
      </w:pPr>
      <w:r>
        <w:rPr>
          <w:rFonts w:hint="eastAsia"/>
          <w:sz w:val="24"/>
        </w:rPr>
        <w:t>系统需对服务费对账的操作过程进行全留痕记录。</w:t>
      </w:r>
    </w:p>
    <w:p w14:paraId="3FF4E292">
      <w:pPr>
        <w:spacing w:line="360" w:lineRule="auto"/>
        <w:ind w:firstLine="480" w:firstLineChars="200"/>
        <w:rPr>
          <w:sz w:val="24"/>
        </w:rPr>
      </w:pPr>
      <w:r>
        <w:rPr>
          <w:rFonts w:hint="eastAsia"/>
          <w:sz w:val="24"/>
        </w:rPr>
        <w:t>7. 意见反馈</w:t>
      </w:r>
    </w:p>
    <w:p w14:paraId="45891304">
      <w:pPr>
        <w:spacing w:line="360" w:lineRule="auto"/>
        <w:ind w:firstLine="480" w:firstLineChars="200"/>
        <w:rPr>
          <w:sz w:val="24"/>
        </w:rPr>
      </w:pPr>
      <w:r>
        <w:rPr>
          <w:rFonts w:hint="eastAsia"/>
          <w:sz w:val="24"/>
        </w:rPr>
        <w:t>系统可支持用户进行意见反馈，可进行回复并在首页进行展示。</w:t>
      </w:r>
    </w:p>
    <w:p w14:paraId="78EC5678">
      <w:pPr>
        <w:spacing w:line="360" w:lineRule="auto"/>
        <w:ind w:firstLine="480" w:firstLineChars="200"/>
        <w:rPr>
          <w:sz w:val="24"/>
        </w:rPr>
      </w:pPr>
      <w:r>
        <w:rPr>
          <w:rFonts w:hint="eastAsia"/>
          <w:sz w:val="24"/>
        </w:rPr>
        <w:t>8. 价格监测服务</w:t>
      </w:r>
    </w:p>
    <w:p w14:paraId="7D9335AC">
      <w:pPr>
        <w:spacing w:line="360" w:lineRule="auto"/>
        <w:ind w:firstLine="480" w:firstLineChars="200"/>
        <w:rPr>
          <w:sz w:val="24"/>
        </w:rPr>
      </w:pPr>
      <w:r>
        <w:rPr>
          <w:rFonts w:hint="eastAsia"/>
          <w:sz w:val="24"/>
        </w:rPr>
        <w:t>价格监测服务主要应用于货物价格监测管理，是电子卖场价格管理的重要工具。价格监测需满足集采目录内品目的全覆盖，并可针对部分集采目录外可标准化的品目进行价格监测。</w:t>
      </w:r>
    </w:p>
    <w:p w14:paraId="7B65C4B9">
      <w:pPr>
        <w:spacing w:line="360" w:lineRule="auto"/>
        <w:ind w:firstLine="480" w:firstLineChars="200"/>
        <w:rPr>
          <w:sz w:val="24"/>
        </w:rPr>
      </w:pPr>
      <w:r>
        <w:rPr>
          <w:rFonts w:hint="eastAsia"/>
          <w:sz w:val="24"/>
        </w:rPr>
        <w:t>应具备收集、征集、运用全国商品成交价格的监测分析功能，应按照天津市政府采购电子卖场管理需求，提供监测规则和数理模型，对商品库中的产品开展动态价格监测，并对监测结果实时反馈展示和应用（风险预警和提示），对高于市场监测参考价格和商品信息不规范、覆盖率达不到要求、品目错误的商品应自动下架处理。</w:t>
      </w:r>
    </w:p>
    <w:p w14:paraId="5B15628A">
      <w:pPr>
        <w:spacing w:line="360" w:lineRule="auto"/>
        <w:ind w:firstLine="480" w:firstLineChars="200"/>
        <w:rPr>
          <w:sz w:val="24"/>
        </w:rPr>
      </w:pPr>
      <w:r>
        <w:rPr>
          <w:rFonts w:hint="eastAsia"/>
          <w:sz w:val="24"/>
        </w:rPr>
        <w:t>价格监测可监测商品数量应不少于2000万个；价格数据来源应不少于20万个，至少需要包含包含京东商城、苏宁易购、中央政府采购电子卖场等主流电商平台及政府采购电子卖场平台，可以配置商品链接和品目映射。</w:t>
      </w:r>
    </w:p>
    <w:p w14:paraId="5414D27A">
      <w:pPr>
        <w:spacing w:line="360" w:lineRule="auto"/>
        <w:ind w:firstLine="480" w:firstLineChars="200"/>
        <w:rPr>
          <w:sz w:val="24"/>
        </w:rPr>
      </w:pPr>
      <w:r>
        <w:rPr>
          <w:rFonts w:hint="eastAsia"/>
          <w:sz w:val="24"/>
        </w:rPr>
        <w:t>选择已监测的商品，展示商品政采最低价、政采最高价、市场最低价、市场最高价、系数合理价，以及推荐的有效价格区间。展示商品价格信息来源，包括政采价、市场价、原厂价，支持动态更新，可链接到采集商品价格的网站，查看该商品在被采集商城内的价格。</w:t>
      </w:r>
    </w:p>
    <w:p w14:paraId="114FCA90">
      <w:pPr>
        <w:spacing w:line="360" w:lineRule="auto"/>
        <w:ind w:firstLine="480" w:firstLineChars="200"/>
        <w:rPr>
          <w:sz w:val="24"/>
        </w:rPr>
      </w:pPr>
      <w:r>
        <w:rPr>
          <w:rFonts w:hint="eastAsia"/>
          <w:sz w:val="24"/>
        </w:rPr>
        <w:t>9. 诚信管理</w:t>
      </w:r>
    </w:p>
    <w:p w14:paraId="36D7EC0C">
      <w:pPr>
        <w:spacing w:line="360" w:lineRule="auto"/>
        <w:ind w:firstLine="480" w:firstLineChars="200"/>
        <w:rPr>
          <w:sz w:val="24"/>
        </w:rPr>
      </w:pPr>
      <w:r>
        <w:rPr>
          <w:rFonts w:hint="eastAsia"/>
          <w:sz w:val="24"/>
        </w:rPr>
        <w:t>应依据主管部门的有关规定，具备诚信管理功能。</w:t>
      </w:r>
    </w:p>
    <w:p w14:paraId="237C51E6">
      <w:pPr>
        <w:spacing w:line="360" w:lineRule="auto"/>
        <w:ind w:firstLine="480" w:firstLineChars="200"/>
        <w:rPr>
          <w:sz w:val="24"/>
        </w:rPr>
      </w:pPr>
      <w:r>
        <w:rPr>
          <w:rFonts w:hint="eastAsia"/>
          <w:sz w:val="24"/>
        </w:rPr>
        <w:t>9.1 违规规则配置</w:t>
      </w:r>
    </w:p>
    <w:p w14:paraId="6142CC4D">
      <w:pPr>
        <w:spacing w:line="360" w:lineRule="auto"/>
        <w:ind w:firstLine="480" w:firstLineChars="200"/>
        <w:rPr>
          <w:sz w:val="24"/>
        </w:rPr>
      </w:pPr>
      <w:r>
        <w:rPr>
          <w:rFonts w:hint="eastAsia"/>
          <w:sz w:val="24"/>
        </w:rPr>
        <w:t>系统应支持服务人员根据天津市政府采购电子卖场管理办法设定供应商诚信评价的标准或规则，包括扣分标准、扣分因素、限制条件以及状态等，部分规则应实现系统自动匹配扣减。支持配置电子卖场诚信评价单，诚信评价单类型至少包含普通和修改两种类型。诚信评价指标可实现从全国指标库、本地指标库选择，或自定义评价指标登记。</w:t>
      </w:r>
    </w:p>
    <w:p w14:paraId="7736574E">
      <w:pPr>
        <w:spacing w:line="360" w:lineRule="auto"/>
        <w:ind w:firstLine="480" w:firstLineChars="200"/>
        <w:rPr>
          <w:sz w:val="24"/>
        </w:rPr>
      </w:pPr>
      <w:r>
        <w:rPr>
          <w:rFonts w:hint="eastAsia"/>
          <w:sz w:val="24"/>
        </w:rPr>
        <w:t>9.2 诚信监督管理</w:t>
      </w:r>
    </w:p>
    <w:p w14:paraId="7F9E0861">
      <w:pPr>
        <w:spacing w:line="360" w:lineRule="auto"/>
        <w:ind w:firstLine="480" w:firstLineChars="200"/>
        <w:rPr>
          <w:sz w:val="24"/>
        </w:rPr>
      </w:pPr>
      <w:r>
        <w:rPr>
          <w:rFonts w:hint="eastAsia"/>
          <w:sz w:val="24"/>
        </w:rPr>
        <w:t>系统应支持在后台查看所有供应商的诚信监督结果信息，包括供应商名称、当前信用分数、被扣除分数次数、暂停销售次数、暂停销售时间、恢复销售时间、当前状态等，操作按钮包括违规处罚、处罚记录、黑名单。</w:t>
      </w:r>
    </w:p>
    <w:p w14:paraId="4BAE9220">
      <w:pPr>
        <w:spacing w:line="360" w:lineRule="auto"/>
        <w:ind w:firstLine="480" w:firstLineChars="200"/>
        <w:rPr>
          <w:sz w:val="24"/>
        </w:rPr>
      </w:pPr>
      <w:r>
        <w:rPr>
          <w:rFonts w:hint="eastAsia"/>
          <w:sz w:val="24"/>
        </w:rPr>
        <w:t>能够生成供应商诚信报告并可下载。</w:t>
      </w:r>
    </w:p>
    <w:p w14:paraId="0A4342CD">
      <w:pPr>
        <w:spacing w:line="360" w:lineRule="auto"/>
        <w:ind w:firstLine="480" w:firstLineChars="200"/>
        <w:rPr>
          <w:sz w:val="24"/>
        </w:rPr>
      </w:pPr>
      <w:r>
        <w:rPr>
          <w:rFonts w:hint="eastAsia"/>
          <w:sz w:val="24"/>
        </w:rPr>
        <w:t>系统应根据设置的规则标准，自动实现暂停销售的起止时间设置，并对应取消其采购执行（含交易环节）权限。</w:t>
      </w:r>
    </w:p>
    <w:p w14:paraId="5D5C0C58">
      <w:pPr>
        <w:spacing w:line="360" w:lineRule="auto"/>
        <w:ind w:firstLine="480" w:firstLineChars="200"/>
        <w:rPr>
          <w:sz w:val="24"/>
        </w:rPr>
      </w:pPr>
      <w:r>
        <w:rPr>
          <w:rFonts w:hint="eastAsia"/>
          <w:sz w:val="24"/>
        </w:rPr>
        <w:t>9.3 诚信公示</w:t>
      </w:r>
    </w:p>
    <w:p w14:paraId="44176C69">
      <w:pPr>
        <w:spacing w:line="360" w:lineRule="auto"/>
        <w:ind w:firstLine="480" w:firstLineChars="200"/>
        <w:rPr>
          <w:sz w:val="24"/>
        </w:rPr>
      </w:pPr>
      <w:r>
        <w:rPr>
          <w:rFonts w:hint="eastAsia"/>
          <w:sz w:val="24"/>
        </w:rPr>
        <w:t>入驻平台所有供应商的诚信结果应在电子卖场首页进行公开公示，分为信用分数、暂停及取消资格记录两大部分。</w:t>
      </w:r>
    </w:p>
    <w:p w14:paraId="34933607">
      <w:pPr>
        <w:spacing w:line="360" w:lineRule="auto"/>
        <w:ind w:firstLine="480" w:firstLineChars="200"/>
        <w:rPr>
          <w:sz w:val="24"/>
        </w:rPr>
      </w:pPr>
      <w:r>
        <w:rPr>
          <w:rFonts w:hint="eastAsia"/>
          <w:sz w:val="24"/>
        </w:rPr>
        <w:t>9.4 诚信评价及应用</w:t>
      </w:r>
    </w:p>
    <w:p w14:paraId="3CAC87FC">
      <w:pPr>
        <w:spacing w:line="360" w:lineRule="auto"/>
        <w:ind w:firstLine="480" w:firstLineChars="200"/>
        <w:rPr>
          <w:sz w:val="24"/>
        </w:rPr>
      </w:pPr>
      <w:r>
        <w:rPr>
          <w:rFonts w:hint="eastAsia"/>
          <w:sz w:val="24"/>
        </w:rPr>
        <w:t>系统要根据供应商的阶段性信用评价结果，对供应商进行相关处理。信用评价结果在系统中应分为优秀、正常、不良三种，如被评为不良，可自动按照评价内容对供应商执行出库、暂停资格等操作。</w:t>
      </w:r>
    </w:p>
    <w:p w14:paraId="24DE1CEB">
      <w:pPr>
        <w:spacing w:line="360" w:lineRule="auto"/>
        <w:ind w:firstLine="480" w:firstLineChars="200"/>
        <w:rPr>
          <w:sz w:val="24"/>
        </w:rPr>
      </w:pPr>
      <w:r>
        <w:rPr>
          <w:rFonts w:hint="eastAsia"/>
          <w:sz w:val="24"/>
        </w:rPr>
        <w:t>10. 统计分析</w:t>
      </w:r>
    </w:p>
    <w:p w14:paraId="3A3BD06B">
      <w:pPr>
        <w:spacing w:line="360" w:lineRule="auto"/>
        <w:ind w:firstLine="480" w:firstLineChars="200"/>
        <w:rPr>
          <w:sz w:val="24"/>
        </w:rPr>
      </w:pPr>
      <w:r>
        <w:rPr>
          <w:rFonts w:hint="eastAsia"/>
          <w:sz w:val="24"/>
        </w:rPr>
        <w:t>应提供统计分析系统，与项目采购信息系统互联共享，“一站式”聚合电子卖场全过程采购数据，提供数据应用模型，在线查询、统计、分析和应用数据，为采购数据统计提供准确、及时的信息支持，为领导决策提供真实、实时的数据。</w:t>
      </w:r>
    </w:p>
    <w:p w14:paraId="0A3DD850">
      <w:pPr>
        <w:spacing w:line="360" w:lineRule="auto"/>
        <w:ind w:firstLine="480" w:firstLineChars="200"/>
        <w:rPr>
          <w:sz w:val="24"/>
        </w:rPr>
      </w:pPr>
      <w:r>
        <w:rPr>
          <w:rFonts w:hint="eastAsia"/>
          <w:sz w:val="24"/>
        </w:rPr>
        <w:t>11. 特色场馆</w:t>
      </w:r>
    </w:p>
    <w:p w14:paraId="06AA3941">
      <w:pPr>
        <w:spacing w:line="360" w:lineRule="auto"/>
        <w:ind w:firstLine="480" w:firstLineChars="200"/>
        <w:rPr>
          <w:sz w:val="24"/>
        </w:rPr>
      </w:pPr>
      <w:r>
        <w:rPr>
          <w:rFonts w:hint="eastAsia"/>
          <w:sz w:val="24"/>
        </w:rPr>
        <w:t>11.1 自助货柜机</w:t>
      </w:r>
    </w:p>
    <w:p w14:paraId="38BA7C19">
      <w:pPr>
        <w:spacing w:line="360" w:lineRule="auto"/>
        <w:ind w:firstLine="480" w:firstLineChars="200"/>
        <w:rPr>
          <w:sz w:val="24"/>
        </w:rPr>
      </w:pPr>
      <w:r>
        <w:rPr>
          <w:rFonts w:hint="eastAsia"/>
          <w:sz w:val="24"/>
        </w:rPr>
        <w:t>实现与自助货柜机进行对接，实现自助货柜机产生的交易对接至电子卖场，并可进行订单汇总等功能。</w:t>
      </w:r>
    </w:p>
    <w:p w14:paraId="59F972E9">
      <w:pPr>
        <w:spacing w:line="360" w:lineRule="auto"/>
        <w:ind w:firstLine="480" w:firstLineChars="200"/>
        <w:rPr>
          <w:sz w:val="24"/>
        </w:rPr>
      </w:pPr>
      <w:r>
        <w:rPr>
          <w:rFonts w:hint="eastAsia"/>
          <w:sz w:val="24"/>
        </w:rPr>
        <w:t>11.2 科技创新馆</w:t>
      </w:r>
    </w:p>
    <w:p w14:paraId="735D2388">
      <w:pPr>
        <w:spacing w:line="360" w:lineRule="auto"/>
        <w:ind w:firstLine="480" w:firstLineChars="200"/>
        <w:rPr>
          <w:sz w:val="24"/>
        </w:rPr>
      </w:pPr>
      <w:r>
        <w:rPr>
          <w:rFonts w:hint="eastAsia"/>
          <w:sz w:val="24"/>
        </w:rPr>
        <w:t>系统搭建科技创新馆，可进行供应商展示和交易。</w:t>
      </w:r>
    </w:p>
    <w:p w14:paraId="7C3DD2CA">
      <w:pPr>
        <w:spacing w:line="360" w:lineRule="auto"/>
        <w:ind w:firstLine="480" w:firstLineChars="200"/>
        <w:rPr>
          <w:sz w:val="24"/>
        </w:rPr>
      </w:pPr>
      <w:r>
        <w:rPr>
          <w:rFonts w:hint="eastAsia"/>
          <w:sz w:val="24"/>
        </w:rPr>
        <w:t>11.3 绿色建材馆</w:t>
      </w:r>
    </w:p>
    <w:p w14:paraId="76413CCB">
      <w:pPr>
        <w:spacing w:line="360" w:lineRule="auto"/>
        <w:ind w:firstLine="480" w:firstLineChars="200"/>
        <w:rPr>
          <w:sz w:val="24"/>
        </w:rPr>
      </w:pPr>
      <w:r>
        <w:rPr>
          <w:rFonts w:hint="eastAsia"/>
          <w:sz w:val="24"/>
        </w:rPr>
        <w:t>电子卖场结合政府采购支持绿色建材的相关政策，搭建绿色建材馆，可满足绿色项目创建、建材供应商入驻、绿色建材交易等功能。</w:t>
      </w:r>
    </w:p>
    <w:p w14:paraId="500DD644">
      <w:pPr>
        <w:spacing w:line="360" w:lineRule="auto"/>
        <w:ind w:firstLine="480" w:firstLineChars="200"/>
        <w:rPr>
          <w:sz w:val="24"/>
        </w:rPr>
      </w:pPr>
      <w:r>
        <w:rPr>
          <w:rFonts w:hint="eastAsia"/>
          <w:sz w:val="24"/>
        </w:rPr>
        <w:t>12. 系统接口</w:t>
      </w:r>
    </w:p>
    <w:p w14:paraId="38882B02">
      <w:pPr>
        <w:spacing w:line="360" w:lineRule="auto"/>
        <w:ind w:firstLine="480" w:firstLineChars="200"/>
        <w:rPr>
          <w:sz w:val="24"/>
        </w:rPr>
      </w:pPr>
      <w:r>
        <w:rPr>
          <w:rFonts w:hint="eastAsia"/>
          <w:sz w:val="24"/>
        </w:rPr>
        <w:t>12.1 CA对接</w:t>
      </w:r>
    </w:p>
    <w:p w14:paraId="26C02E50">
      <w:pPr>
        <w:spacing w:line="360" w:lineRule="auto"/>
        <w:ind w:firstLine="480" w:firstLineChars="200"/>
        <w:rPr>
          <w:sz w:val="24"/>
        </w:rPr>
      </w:pPr>
      <w:r>
        <w:rPr>
          <w:rFonts w:hint="eastAsia"/>
          <w:sz w:val="24"/>
        </w:rPr>
        <w:t>与CA及印章厂商对接，使电商可进行CA登录并可进行在线签订电子合同。电子合同加盖电子签章以确保采购合同的防篡改和不可抵赖性，确保电商操作真实有效。</w:t>
      </w:r>
    </w:p>
    <w:p w14:paraId="6CF76A81">
      <w:pPr>
        <w:spacing w:line="360" w:lineRule="auto"/>
        <w:ind w:firstLine="480" w:firstLineChars="200"/>
        <w:rPr>
          <w:sz w:val="24"/>
        </w:rPr>
      </w:pPr>
      <w:r>
        <w:rPr>
          <w:rFonts w:hint="eastAsia"/>
          <w:sz w:val="24"/>
        </w:rPr>
        <w:t>12.2 与电商自有电子商务平台对接</w:t>
      </w:r>
    </w:p>
    <w:p w14:paraId="76AC92E5">
      <w:pPr>
        <w:spacing w:line="360" w:lineRule="auto"/>
        <w:ind w:firstLine="480" w:firstLineChars="200"/>
        <w:rPr>
          <w:sz w:val="24"/>
        </w:rPr>
      </w:pPr>
      <w:r>
        <w:rPr>
          <w:rFonts w:hint="eastAsia"/>
          <w:sz w:val="24"/>
        </w:rPr>
        <w:t>电子卖场开发商将标准接入接口开发为公开API、公布接口规范技术文档，新申请入驻的电商平台根据技术规范开发本平台的数据接口。</w:t>
      </w:r>
    </w:p>
    <w:p w14:paraId="3E867AC1">
      <w:pPr>
        <w:spacing w:line="360" w:lineRule="auto"/>
        <w:ind w:firstLine="480" w:firstLineChars="200"/>
        <w:rPr>
          <w:sz w:val="24"/>
        </w:rPr>
      </w:pPr>
      <w:r>
        <w:rPr>
          <w:rFonts w:hint="eastAsia"/>
          <w:sz w:val="24"/>
        </w:rPr>
        <w:t>按照天津市财政局相关要求，电子卖场平台应当与参与我市集采目录内电商平台对接。</w:t>
      </w:r>
    </w:p>
    <w:p w14:paraId="16608FFE">
      <w:pPr>
        <w:spacing w:line="360" w:lineRule="auto"/>
        <w:ind w:firstLine="480" w:firstLineChars="200"/>
        <w:rPr>
          <w:sz w:val="24"/>
        </w:rPr>
      </w:pPr>
      <w:r>
        <w:rPr>
          <w:rFonts w:hint="eastAsia"/>
          <w:sz w:val="24"/>
        </w:rPr>
        <w:t>参与原系统已完成对接的电商需免费同步接入至新系统内，重新对接；电子卖场新入围电商对接不再另行收费。</w:t>
      </w:r>
    </w:p>
    <w:p w14:paraId="17D3DCEF">
      <w:pPr>
        <w:spacing w:line="360" w:lineRule="auto"/>
        <w:ind w:firstLine="480" w:firstLineChars="200"/>
        <w:rPr>
          <w:sz w:val="24"/>
        </w:rPr>
      </w:pPr>
      <w:r>
        <w:rPr>
          <w:rFonts w:hint="eastAsia"/>
          <w:sz w:val="24"/>
        </w:rPr>
        <w:t>12.3 与天津市政府采购中心主体库对接</w:t>
      </w:r>
    </w:p>
    <w:p w14:paraId="2E557892">
      <w:pPr>
        <w:spacing w:line="360" w:lineRule="auto"/>
        <w:ind w:firstLine="480" w:firstLineChars="200"/>
        <w:rPr>
          <w:sz w:val="24"/>
        </w:rPr>
      </w:pPr>
      <w:r>
        <w:rPr>
          <w:rFonts w:hint="eastAsia"/>
          <w:sz w:val="24"/>
        </w:rPr>
        <w:t>对接天津市政府采购中心采购人、供应商主体库，实现采购人、供应商用户名、密码、主体数据等的实时同步新增、修改、停用、启用等。</w:t>
      </w:r>
    </w:p>
    <w:p w14:paraId="6A71E389">
      <w:pPr>
        <w:spacing w:line="360" w:lineRule="auto"/>
        <w:ind w:firstLine="480" w:firstLineChars="200"/>
        <w:rPr>
          <w:sz w:val="24"/>
        </w:rPr>
      </w:pPr>
      <w:r>
        <w:rPr>
          <w:rFonts w:hint="eastAsia"/>
          <w:sz w:val="24"/>
        </w:rPr>
        <w:t>12.4 与缴费平台的对接</w:t>
      </w:r>
    </w:p>
    <w:p w14:paraId="54A2C1C8">
      <w:pPr>
        <w:spacing w:line="360" w:lineRule="auto"/>
        <w:ind w:firstLine="480" w:firstLineChars="200"/>
        <w:rPr>
          <w:sz w:val="24"/>
        </w:rPr>
      </w:pPr>
      <w:r>
        <w:rPr>
          <w:rFonts w:hint="eastAsia"/>
          <w:sz w:val="24"/>
        </w:rPr>
        <w:t>与天津市公共资源交易中心缴费平台进行对接，实现服务费支付信息的对接功能。</w:t>
      </w:r>
    </w:p>
    <w:p w14:paraId="21386B97">
      <w:pPr>
        <w:spacing w:line="360" w:lineRule="auto"/>
        <w:ind w:firstLine="480" w:firstLineChars="200"/>
        <w:rPr>
          <w:sz w:val="24"/>
        </w:rPr>
      </w:pPr>
      <w:r>
        <w:rPr>
          <w:rFonts w:hint="eastAsia"/>
          <w:sz w:val="24"/>
        </w:rPr>
        <w:t>二、系统性能指标</w:t>
      </w:r>
    </w:p>
    <w:p w14:paraId="4AD49E16">
      <w:pPr>
        <w:spacing w:line="360" w:lineRule="auto"/>
        <w:ind w:firstLine="480" w:firstLineChars="200"/>
        <w:rPr>
          <w:sz w:val="24"/>
        </w:rPr>
      </w:pPr>
      <w:r>
        <w:rPr>
          <w:rFonts w:hint="eastAsia"/>
          <w:sz w:val="24"/>
        </w:rPr>
        <w:t>1. 兼容性需求</w:t>
      </w:r>
    </w:p>
    <w:p w14:paraId="7C8C037E">
      <w:pPr>
        <w:spacing w:line="360" w:lineRule="auto"/>
        <w:ind w:firstLine="480" w:firstLineChars="200"/>
        <w:rPr>
          <w:sz w:val="24"/>
        </w:rPr>
      </w:pPr>
      <w:r>
        <w:rPr>
          <w:rFonts w:hint="eastAsia"/>
          <w:sz w:val="24"/>
        </w:rPr>
        <w:t>系统应支持主流浏览器（IE 11.0及以上，火狐，Chrome等）的兼容，同时满足国产化主流浏览器的兼容性。</w:t>
      </w:r>
    </w:p>
    <w:p w14:paraId="75588A78">
      <w:pPr>
        <w:spacing w:line="360" w:lineRule="auto"/>
        <w:ind w:firstLine="480" w:firstLineChars="200"/>
        <w:rPr>
          <w:sz w:val="24"/>
        </w:rPr>
      </w:pPr>
      <w:r>
        <w:rPr>
          <w:rFonts w:hint="eastAsia"/>
          <w:sz w:val="24"/>
        </w:rPr>
        <w:t>2. 部署需求</w:t>
      </w:r>
    </w:p>
    <w:p w14:paraId="0909C88B">
      <w:pPr>
        <w:spacing w:line="360" w:lineRule="auto"/>
        <w:ind w:firstLine="480" w:firstLineChars="200"/>
        <w:rPr>
          <w:sz w:val="24"/>
        </w:rPr>
      </w:pPr>
      <w:r>
        <w:rPr>
          <w:rFonts w:hint="eastAsia"/>
          <w:sz w:val="24"/>
        </w:rPr>
        <w:t>结合技术性需求，从整体应用性能、响应需求等方面，投标人需提供可支撑电子卖场系统所需的基础设施资源，包括但不限于云资源、网络环境、存储资源以及相关系统安全保障服务，满足天津市政府采购电子卖场系统安全、稳定运行在互联网环境，支撑全市采购业务执行的顺利开展。</w:t>
      </w:r>
    </w:p>
    <w:p w14:paraId="01A9E5AE">
      <w:pPr>
        <w:spacing w:line="360" w:lineRule="auto"/>
        <w:ind w:firstLine="480" w:firstLineChars="200"/>
        <w:rPr>
          <w:sz w:val="24"/>
        </w:rPr>
      </w:pPr>
      <w:r>
        <w:rPr>
          <w:rFonts w:hint="eastAsia"/>
          <w:sz w:val="24"/>
        </w:rPr>
        <w:t>3. 安全需求</w:t>
      </w:r>
    </w:p>
    <w:p w14:paraId="44DCF00D">
      <w:pPr>
        <w:spacing w:line="360" w:lineRule="auto"/>
        <w:ind w:firstLine="480" w:firstLineChars="200"/>
        <w:rPr>
          <w:sz w:val="24"/>
        </w:rPr>
      </w:pPr>
      <w:r>
        <w:rPr>
          <w:rFonts w:hint="eastAsia"/>
          <w:sz w:val="24"/>
        </w:rPr>
        <w:t>确保交付拟上线运行的系统已经过功能测试、性能（压力）测试和安全性测试等，并具备信息系统安全等级保护备案证明三级或以上证明。</w:t>
      </w:r>
    </w:p>
    <w:p w14:paraId="10DB7C38">
      <w:pPr>
        <w:spacing w:line="360" w:lineRule="auto"/>
        <w:ind w:firstLine="480" w:firstLineChars="200"/>
        <w:rPr>
          <w:sz w:val="24"/>
        </w:rPr>
      </w:pPr>
      <w:r>
        <w:rPr>
          <w:rFonts w:hint="eastAsia"/>
          <w:sz w:val="24"/>
        </w:rPr>
        <w:t>3.1 安全防护</w:t>
      </w:r>
    </w:p>
    <w:p w14:paraId="33811B94">
      <w:pPr>
        <w:spacing w:line="360" w:lineRule="auto"/>
        <w:ind w:firstLine="480" w:firstLineChars="200"/>
        <w:rPr>
          <w:sz w:val="24"/>
        </w:rPr>
      </w:pPr>
      <w:r>
        <w:rPr>
          <w:rFonts w:hint="eastAsia"/>
          <w:sz w:val="24"/>
        </w:rPr>
        <w:t>需要对数据库存储敏感信息：对用户密码进行加密，以保证各级用户对系统访问的安全性。生成的口令不可逆转。输入的口令不应显示在显示终端上。</w:t>
      </w:r>
    </w:p>
    <w:p w14:paraId="083048E5">
      <w:pPr>
        <w:spacing w:line="360" w:lineRule="auto"/>
        <w:ind w:firstLine="480" w:firstLineChars="200"/>
        <w:rPr>
          <w:sz w:val="24"/>
        </w:rPr>
      </w:pPr>
      <w:r>
        <w:rPr>
          <w:rFonts w:hint="eastAsia"/>
          <w:sz w:val="24"/>
        </w:rPr>
        <w:t>3.2 操作跟踪</w:t>
      </w:r>
    </w:p>
    <w:p w14:paraId="369F411D">
      <w:pPr>
        <w:spacing w:line="360" w:lineRule="auto"/>
        <w:ind w:firstLine="480" w:firstLineChars="200"/>
        <w:rPr>
          <w:sz w:val="24"/>
        </w:rPr>
      </w:pPr>
      <w:r>
        <w:rPr>
          <w:rFonts w:hint="eastAsia"/>
          <w:sz w:val="24"/>
        </w:rPr>
        <w:t>针对系统运行出现的异常，跟踪调查出现异常的情况，了解操作意图，有针对性的解决问题。</w:t>
      </w:r>
    </w:p>
    <w:p w14:paraId="646F1DBF">
      <w:pPr>
        <w:spacing w:line="360" w:lineRule="auto"/>
        <w:ind w:firstLine="480" w:firstLineChars="200"/>
        <w:rPr>
          <w:sz w:val="24"/>
        </w:rPr>
      </w:pPr>
      <w:r>
        <w:rPr>
          <w:rFonts w:hint="eastAsia"/>
          <w:sz w:val="24"/>
        </w:rPr>
        <w:t>系统日志，便于查看系统的运行情况。</w:t>
      </w:r>
    </w:p>
    <w:p w14:paraId="003260B9">
      <w:pPr>
        <w:spacing w:line="360" w:lineRule="auto"/>
        <w:ind w:firstLine="480" w:firstLineChars="200"/>
        <w:rPr>
          <w:sz w:val="24"/>
        </w:rPr>
      </w:pPr>
      <w:r>
        <w:rPr>
          <w:rFonts w:hint="eastAsia"/>
          <w:sz w:val="24"/>
        </w:rPr>
        <w:t>操作日志，提供用户在系统中增加、修改系统数据信息时记录日志。用于跟踪用户的操作，了解信息的变更，在需要时对事情进行调查。</w:t>
      </w:r>
    </w:p>
    <w:p w14:paraId="0280AE32">
      <w:pPr>
        <w:spacing w:line="360" w:lineRule="auto"/>
        <w:ind w:firstLine="480" w:firstLineChars="200"/>
        <w:rPr>
          <w:sz w:val="24"/>
        </w:rPr>
      </w:pPr>
      <w:r>
        <w:rPr>
          <w:rFonts w:hint="eastAsia"/>
          <w:sz w:val="24"/>
        </w:rPr>
        <w:t>3.3 访问控制</w:t>
      </w:r>
    </w:p>
    <w:p w14:paraId="441C6E68">
      <w:pPr>
        <w:spacing w:line="360" w:lineRule="auto"/>
        <w:ind w:firstLine="480" w:firstLineChars="200"/>
        <w:rPr>
          <w:sz w:val="24"/>
        </w:rPr>
      </w:pPr>
      <w:r>
        <w:rPr>
          <w:rFonts w:hint="eastAsia"/>
          <w:sz w:val="24"/>
        </w:rPr>
        <w:t>页面不可直接访问，防止黑客对页面篡改。页面访问应通过连接动作驱动，访问时作权限检查。有效防止用户通过地址栏输入地址对信息非法访问。系统在页面执行过一次后再次访问通过缓冲工作区执行，对页面屏蔽。</w:t>
      </w:r>
    </w:p>
    <w:p w14:paraId="3067BAB5">
      <w:pPr>
        <w:spacing w:line="360" w:lineRule="auto"/>
        <w:ind w:firstLine="480" w:firstLineChars="200"/>
        <w:rPr>
          <w:sz w:val="24"/>
        </w:rPr>
      </w:pPr>
      <w:r>
        <w:rPr>
          <w:rFonts w:hint="eastAsia"/>
          <w:sz w:val="24"/>
        </w:rPr>
        <w:t>4. 技术性需求</w:t>
      </w:r>
    </w:p>
    <w:p w14:paraId="10820A6A">
      <w:pPr>
        <w:spacing w:line="360" w:lineRule="auto"/>
        <w:ind w:firstLine="480" w:firstLineChars="200"/>
        <w:rPr>
          <w:sz w:val="24"/>
        </w:rPr>
      </w:pPr>
      <w:r>
        <w:rPr>
          <w:rFonts w:hint="eastAsia"/>
          <w:sz w:val="24"/>
        </w:rPr>
        <w:t>投标人提供的电子卖场应采用基于B/S架构。应采用微服务架构，实现基于Web的多层应用。</w:t>
      </w:r>
    </w:p>
    <w:p w14:paraId="2F54FEC2">
      <w:pPr>
        <w:spacing w:line="360" w:lineRule="auto"/>
        <w:ind w:firstLine="480" w:firstLineChars="200"/>
        <w:rPr>
          <w:sz w:val="24"/>
        </w:rPr>
      </w:pPr>
      <w:r>
        <w:rPr>
          <w:rFonts w:hint="eastAsia"/>
          <w:sz w:val="24"/>
        </w:rPr>
        <w:t>4.1 应用性能需求</w:t>
      </w:r>
    </w:p>
    <w:p w14:paraId="6D778EDA">
      <w:pPr>
        <w:spacing w:line="360" w:lineRule="auto"/>
        <w:ind w:firstLine="480" w:firstLineChars="200"/>
        <w:rPr>
          <w:sz w:val="24"/>
        </w:rPr>
      </w:pPr>
      <w:r>
        <w:rPr>
          <w:rFonts w:hint="eastAsia"/>
          <w:sz w:val="24"/>
        </w:rPr>
        <w:t>应用系统的性能应满足业务处理流程的要求，稳定、可靠、实用，人机界面友好，输入输出便捷，查询功能简单明了。</w:t>
      </w:r>
    </w:p>
    <w:p w14:paraId="0577FF6A">
      <w:pPr>
        <w:spacing w:line="360" w:lineRule="auto"/>
        <w:ind w:firstLine="480" w:firstLineChars="200"/>
        <w:rPr>
          <w:sz w:val="24"/>
        </w:rPr>
      </w:pPr>
      <w:r>
        <w:rPr>
          <w:rFonts w:hint="eastAsia"/>
          <w:sz w:val="24"/>
        </w:rPr>
        <w:t>提供丰富的功能和业务组件，保证灵活扩展，相关组件相互调用简单易用。</w:t>
      </w:r>
    </w:p>
    <w:p w14:paraId="27288403">
      <w:pPr>
        <w:spacing w:line="360" w:lineRule="auto"/>
        <w:ind w:firstLine="480" w:firstLineChars="200"/>
        <w:rPr>
          <w:sz w:val="24"/>
        </w:rPr>
      </w:pPr>
      <w:r>
        <w:rPr>
          <w:rFonts w:hint="eastAsia"/>
          <w:sz w:val="24"/>
        </w:rPr>
        <w:t>服务接口：系统采用WebService或http等形式提供数据服务，遵循OGC规范的WMS/WFS标准。</w:t>
      </w:r>
    </w:p>
    <w:p w14:paraId="1A6115A8">
      <w:pPr>
        <w:spacing w:line="360" w:lineRule="auto"/>
        <w:ind w:firstLine="480" w:firstLineChars="200"/>
        <w:rPr>
          <w:sz w:val="24"/>
        </w:rPr>
      </w:pPr>
      <w:r>
        <w:rPr>
          <w:rFonts w:hint="eastAsia"/>
          <w:sz w:val="24"/>
        </w:rPr>
        <w:t>系统运维管理操作简便，平台监控时效性高，对低质量服务和恶意访问及时提示管理员，并能有效、方便地进行控制和管理。</w:t>
      </w:r>
    </w:p>
    <w:p w14:paraId="13329BAF">
      <w:pPr>
        <w:spacing w:line="360" w:lineRule="auto"/>
        <w:ind w:firstLine="480" w:firstLineChars="200"/>
        <w:rPr>
          <w:sz w:val="24"/>
        </w:rPr>
      </w:pPr>
      <w:r>
        <w:rPr>
          <w:rFonts w:hint="eastAsia"/>
          <w:sz w:val="24"/>
        </w:rPr>
        <w:t>4.2 响应需求</w:t>
      </w:r>
    </w:p>
    <w:p w14:paraId="63EF3DFC">
      <w:pPr>
        <w:spacing w:line="360" w:lineRule="auto"/>
        <w:ind w:firstLine="480" w:firstLineChars="200"/>
        <w:rPr>
          <w:sz w:val="24"/>
        </w:rPr>
      </w:pPr>
      <w:r>
        <w:rPr>
          <w:rFonts w:hint="eastAsia"/>
          <w:sz w:val="24"/>
        </w:rPr>
        <w:t>系统需能够支撑全市(市、区两级采购单位、电子卖场供应商、运营监管部门)访问高峰时期满足同时在线人数不小于10000人，保证系统在业务高峰期间能稳定运行，具体性能要求如下：</w:t>
      </w:r>
    </w:p>
    <w:p w14:paraId="4F084EAF">
      <w:pPr>
        <w:spacing w:line="360" w:lineRule="auto"/>
        <w:ind w:firstLine="480" w:firstLineChars="200"/>
        <w:rPr>
          <w:sz w:val="24"/>
        </w:rPr>
      </w:pPr>
      <w:r>
        <w:rPr>
          <w:rFonts w:hint="eastAsia"/>
          <w:sz w:val="24"/>
        </w:rPr>
        <w:t>具备良好的并发响应能力，整体响应性能在2s以内，正常情况下并发数应不小于50个；</w:t>
      </w:r>
    </w:p>
    <w:p w14:paraId="5AFB8D89">
      <w:pPr>
        <w:spacing w:line="360" w:lineRule="auto"/>
        <w:ind w:firstLine="480" w:firstLineChars="200"/>
        <w:rPr>
          <w:sz w:val="24"/>
        </w:rPr>
      </w:pPr>
      <w:r>
        <w:rPr>
          <w:rFonts w:hint="eastAsia"/>
          <w:sz w:val="24"/>
        </w:rPr>
        <w:t>系统支持3年内在线人数年增长20%的处理能力要求；</w:t>
      </w:r>
    </w:p>
    <w:p w14:paraId="4059CE15">
      <w:pPr>
        <w:spacing w:line="360" w:lineRule="auto"/>
        <w:ind w:firstLine="480" w:firstLineChars="200"/>
        <w:rPr>
          <w:sz w:val="24"/>
        </w:rPr>
      </w:pPr>
      <w:r>
        <w:rPr>
          <w:rFonts w:hint="eastAsia"/>
          <w:sz w:val="24"/>
        </w:rPr>
        <w:t>应用系统并发数设计应该支持30%的冗余，保证系统在业务高峰期间稳定运行；</w:t>
      </w:r>
    </w:p>
    <w:p w14:paraId="1F113C97">
      <w:pPr>
        <w:spacing w:line="360" w:lineRule="auto"/>
        <w:ind w:firstLine="480" w:firstLineChars="200"/>
        <w:rPr>
          <w:sz w:val="24"/>
        </w:rPr>
      </w:pPr>
      <w:r>
        <w:rPr>
          <w:rFonts w:hint="eastAsia"/>
          <w:sz w:val="24"/>
        </w:rPr>
        <w:t>服务器忙时CPU占用率＜70%。</w:t>
      </w:r>
    </w:p>
    <w:p w14:paraId="0A5014F4">
      <w:pPr>
        <w:spacing w:line="360" w:lineRule="auto"/>
        <w:ind w:firstLine="480" w:firstLineChars="200"/>
        <w:rPr>
          <w:sz w:val="24"/>
        </w:rPr>
      </w:pPr>
      <w:r>
        <w:rPr>
          <w:rFonts w:hint="eastAsia"/>
          <w:sz w:val="24"/>
        </w:rPr>
        <w:t>4.3 易用性需求</w:t>
      </w:r>
    </w:p>
    <w:p w14:paraId="0F4ACF28">
      <w:pPr>
        <w:spacing w:line="360" w:lineRule="auto"/>
        <w:ind w:firstLine="480" w:firstLineChars="200"/>
        <w:rPr>
          <w:sz w:val="24"/>
        </w:rPr>
      </w:pPr>
      <w:r>
        <w:rPr>
          <w:rFonts w:hint="eastAsia"/>
          <w:sz w:val="24"/>
        </w:rPr>
        <w:t>系统应使用用户熟悉的业务用语，并给出友好的提醒、提示，帮助使用者了解到当前系统的反馈，知晓系统的操作是否进行，进度情况。对于错误报错，应该进行清晰，明确的提示。</w:t>
      </w:r>
    </w:p>
    <w:p w14:paraId="4DF5A564">
      <w:pPr>
        <w:spacing w:line="360" w:lineRule="auto"/>
        <w:ind w:firstLine="480" w:firstLineChars="200"/>
        <w:rPr>
          <w:sz w:val="24"/>
        </w:rPr>
      </w:pPr>
      <w:r>
        <w:rPr>
          <w:rFonts w:hint="eastAsia"/>
          <w:sz w:val="24"/>
        </w:rPr>
        <w:t>4.4 可靠性需求</w:t>
      </w:r>
    </w:p>
    <w:p w14:paraId="011B36BF">
      <w:pPr>
        <w:spacing w:line="360" w:lineRule="auto"/>
        <w:ind w:firstLine="480" w:firstLineChars="200"/>
        <w:rPr>
          <w:sz w:val="24"/>
        </w:rPr>
      </w:pPr>
      <w:r>
        <w:rPr>
          <w:rFonts w:hint="eastAsia"/>
          <w:sz w:val="24"/>
        </w:rPr>
        <w:t>对人工输入的数据以及来自不同接口的数据进行合法性检查，确保流程的通畅性，并且能够对错误数据进行自动纠错处理，或提醒人工干预。</w:t>
      </w:r>
    </w:p>
    <w:p w14:paraId="0D78AE87">
      <w:pPr>
        <w:spacing w:line="360" w:lineRule="auto"/>
        <w:ind w:firstLine="480" w:firstLineChars="200"/>
        <w:rPr>
          <w:sz w:val="24"/>
        </w:rPr>
      </w:pPr>
      <w:r>
        <w:rPr>
          <w:rFonts w:hint="eastAsia"/>
          <w:sz w:val="24"/>
        </w:rPr>
        <w:t>系统运行中的可靠性依赖于主机系统、网络系统、数据库系统和应用系统的可靠性。因此，新系统中所采用的设备及主要技术必须是成熟的、可靠的，并加以全面的监视和控制，而且充分考虑异常时的应变与容错能力。</w:t>
      </w:r>
    </w:p>
    <w:p w14:paraId="3E08D11A">
      <w:pPr>
        <w:spacing w:line="360" w:lineRule="auto"/>
        <w:ind w:firstLine="480" w:firstLineChars="200"/>
        <w:rPr>
          <w:sz w:val="24"/>
        </w:rPr>
      </w:pPr>
      <w:r>
        <w:rPr>
          <w:rFonts w:hint="eastAsia"/>
          <w:sz w:val="24"/>
        </w:rPr>
        <w:t>在应用软件开发中要充分利用数据库的安全机制和错误恢复机制，保证数据的准确性、一致性和完整性。</w:t>
      </w:r>
    </w:p>
    <w:p w14:paraId="1AD39E41">
      <w:pPr>
        <w:spacing w:line="360" w:lineRule="auto"/>
        <w:ind w:firstLine="480" w:firstLineChars="200"/>
        <w:rPr>
          <w:sz w:val="24"/>
        </w:rPr>
      </w:pPr>
      <w:r>
        <w:rPr>
          <w:rFonts w:hint="eastAsia"/>
          <w:sz w:val="24"/>
        </w:rPr>
        <w:t>保证系统具有极高的运行质量，能够一天24小时连续不间断工作。在出现故障的时候，必须能够及时提供应急措施，以确保整个业务系统的不中断。</w:t>
      </w:r>
    </w:p>
    <w:p w14:paraId="365B5B6B">
      <w:pPr>
        <w:spacing w:line="360" w:lineRule="auto"/>
        <w:ind w:firstLine="480" w:firstLineChars="200"/>
        <w:rPr>
          <w:sz w:val="24"/>
        </w:rPr>
      </w:pPr>
      <w:r>
        <w:rPr>
          <w:rFonts w:hint="eastAsia"/>
          <w:sz w:val="24"/>
        </w:rPr>
        <w:t>4.5 可拓展性需求</w:t>
      </w:r>
    </w:p>
    <w:p w14:paraId="3B65C476">
      <w:pPr>
        <w:spacing w:line="360" w:lineRule="auto"/>
        <w:ind w:firstLine="480" w:firstLineChars="200"/>
        <w:rPr>
          <w:sz w:val="24"/>
        </w:rPr>
      </w:pPr>
      <w:r>
        <w:rPr>
          <w:rFonts w:hint="eastAsia"/>
          <w:sz w:val="24"/>
        </w:rPr>
        <w:t>系统要具备逐步升级能力的结构，采用模块化设计，在整个系统正常运行的情况下，能够随时增加或取消服务实例。可动态增加服务器，增加处理能力，能够实现负载均衡。</w:t>
      </w:r>
    </w:p>
    <w:p w14:paraId="10D0FFF5">
      <w:pPr>
        <w:spacing w:line="360" w:lineRule="auto"/>
        <w:ind w:firstLine="480" w:firstLineChars="200"/>
        <w:rPr>
          <w:sz w:val="24"/>
        </w:rPr>
      </w:pPr>
      <w:r>
        <w:rPr>
          <w:rFonts w:hint="eastAsia"/>
          <w:sz w:val="24"/>
        </w:rPr>
        <w:t>系统必须保证软件新旧版本的平稳过渡，保证主机系统，网络系统在将来能够顺利扩容，且不影响正常的生产运行。</w:t>
      </w:r>
    </w:p>
    <w:p w14:paraId="55AE50CA">
      <w:pPr>
        <w:spacing w:line="360" w:lineRule="auto"/>
        <w:ind w:firstLine="480" w:firstLineChars="200"/>
        <w:rPr>
          <w:sz w:val="24"/>
        </w:rPr>
      </w:pPr>
      <w:r>
        <w:rPr>
          <w:rFonts w:hint="eastAsia"/>
          <w:sz w:val="24"/>
        </w:rPr>
        <w:t>4.6 可维护性需求</w:t>
      </w:r>
    </w:p>
    <w:p w14:paraId="599B80DF">
      <w:pPr>
        <w:spacing w:line="360" w:lineRule="auto"/>
        <w:ind w:firstLine="480" w:firstLineChars="200"/>
        <w:rPr>
          <w:sz w:val="24"/>
        </w:rPr>
      </w:pPr>
      <w:r>
        <w:rPr>
          <w:rFonts w:hint="eastAsia"/>
          <w:sz w:val="24"/>
        </w:rPr>
        <w:t>系统必须能被配置、部署、监控和优化以确保其在预定地环境中工作良好。系统间的任意模块更新加载时不影响业务运转和服务。</w:t>
      </w:r>
    </w:p>
    <w:p w14:paraId="00961312">
      <w:pPr>
        <w:spacing w:line="360" w:lineRule="auto"/>
        <w:ind w:firstLine="480" w:firstLineChars="200"/>
        <w:rPr>
          <w:sz w:val="24"/>
        </w:rPr>
      </w:pPr>
      <w:r>
        <w:rPr>
          <w:rFonts w:hint="eastAsia"/>
          <w:sz w:val="24"/>
        </w:rPr>
        <w:t>4.7 数据备份需求</w:t>
      </w:r>
    </w:p>
    <w:p w14:paraId="2C15D0AA">
      <w:pPr>
        <w:spacing w:line="360" w:lineRule="auto"/>
        <w:ind w:firstLine="480" w:firstLineChars="200"/>
        <w:rPr>
          <w:sz w:val="24"/>
        </w:rPr>
      </w:pPr>
      <w:r>
        <w:rPr>
          <w:rFonts w:hint="eastAsia"/>
          <w:sz w:val="24"/>
        </w:rPr>
        <w:t>建立数据备份机制，防止系统出现操作失误或系统故障导致数据丢失。</w:t>
      </w:r>
    </w:p>
    <w:p w14:paraId="5E3B3C5E">
      <w:pPr>
        <w:spacing w:line="360" w:lineRule="auto"/>
        <w:ind w:firstLine="480" w:firstLineChars="200"/>
        <w:rPr>
          <w:sz w:val="24"/>
        </w:rPr>
      </w:pPr>
      <w:r>
        <w:rPr>
          <w:rFonts w:hint="eastAsia"/>
          <w:sz w:val="24"/>
        </w:rPr>
        <w:t>三、运营服务内容</w:t>
      </w:r>
    </w:p>
    <w:p w14:paraId="2A8E0D36">
      <w:pPr>
        <w:spacing w:line="360" w:lineRule="auto"/>
        <w:ind w:firstLine="480" w:firstLineChars="200"/>
        <w:rPr>
          <w:sz w:val="24"/>
        </w:rPr>
      </w:pPr>
      <w:r>
        <w:rPr>
          <w:rFonts w:hint="eastAsia"/>
          <w:sz w:val="24"/>
        </w:rPr>
        <w:t>1. 运营服务内容</w:t>
      </w:r>
    </w:p>
    <w:p w14:paraId="2B6E01DD">
      <w:pPr>
        <w:spacing w:line="360" w:lineRule="auto"/>
        <w:ind w:firstLine="480" w:firstLineChars="200"/>
        <w:rPr>
          <w:sz w:val="24"/>
        </w:rPr>
      </w:pPr>
      <w:r>
        <w:rPr>
          <w:rFonts w:hint="eastAsia"/>
          <w:sz w:val="24"/>
        </w:rPr>
        <w:t>运营人员需提供5*8小时运营服务，当日/当周工作需严格按照时间完成。如遇紧急或未完成的工作需加班完成。</w:t>
      </w:r>
    </w:p>
    <w:p w14:paraId="4FA6C6B8">
      <w:pPr>
        <w:spacing w:line="360" w:lineRule="auto"/>
        <w:ind w:firstLine="480" w:firstLineChars="200"/>
        <w:rPr>
          <w:sz w:val="24"/>
        </w:rPr>
      </w:pPr>
      <w:r>
        <w:rPr>
          <w:rFonts w:hint="eastAsia"/>
          <w:sz w:val="24"/>
        </w:rPr>
        <w:t>1.1 供应商管理</w:t>
      </w:r>
    </w:p>
    <w:p w14:paraId="0BC1CF1C">
      <w:pPr>
        <w:spacing w:line="360" w:lineRule="auto"/>
        <w:ind w:firstLine="480" w:firstLineChars="200"/>
        <w:rPr>
          <w:sz w:val="24"/>
        </w:rPr>
      </w:pPr>
      <w:r>
        <w:rPr>
          <w:rFonts w:hint="eastAsia"/>
          <w:sz w:val="24"/>
        </w:rPr>
        <w:t>（1）入围供应商对接。投标人负责需维护全市统一的政府采购电子卖场供应商库，全市共享。供应商在政府采购系统公示入库后，自动同步到电子卖场供应商库。</w:t>
      </w:r>
    </w:p>
    <w:p w14:paraId="4B592B7E">
      <w:pPr>
        <w:spacing w:line="360" w:lineRule="auto"/>
        <w:ind w:firstLine="480" w:firstLineChars="200"/>
        <w:rPr>
          <w:sz w:val="24"/>
        </w:rPr>
      </w:pPr>
      <w:r>
        <w:rPr>
          <w:rFonts w:hint="eastAsia"/>
          <w:sz w:val="24"/>
        </w:rPr>
        <w:t>（2）供应商入库指导咨询。投标人需协助采购管理部门做好供应商入库、注册工作，指导供应商进行注册，并针对入库过程中咨询问题进行解答，处理注册入库过程中技术问题。</w:t>
      </w:r>
    </w:p>
    <w:p w14:paraId="7537E588">
      <w:pPr>
        <w:spacing w:line="360" w:lineRule="auto"/>
        <w:ind w:firstLine="480" w:firstLineChars="200"/>
        <w:rPr>
          <w:sz w:val="24"/>
        </w:rPr>
      </w:pPr>
      <w:r>
        <w:rPr>
          <w:rFonts w:hint="eastAsia"/>
          <w:sz w:val="24"/>
        </w:rPr>
        <w:t>1.2 商品管理</w:t>
      </w:r>
    </w:p>
    <w:p w14:paraId="156E7C6F">
      <w:pPr>
        <w:spacing w:line="360" w:lineRule="auto"/>
        <w:ind w:firstLine="480" w:firstLineChars="200"/>
        <w:rPr>
          <w:sz w:val="24"/>
        </w:rPr>
      </w:pPr>
      <w:r>
        <w:rPr>
          <w:rFonts w:hint="eastAsia"/>
          <w:sz w:val="24"/>
        </w:rPr>
        <w:t>（1）品目管理。投标人需针对电子卖场目录，按照天津市公共资源交易中心要求进行新增，并能够和天津市财政局发布的限额标准中集采目录做好对应关系，维护好商品分类对应品目，并就新增品目完善商品属性、参数，保证供应商对应品目上传商品的及时性和可靠性。</w:t>
      </w:r>
    </w:p>
    <w:p w14:paraId="6317FD76">
      <w:pPr>
        <w:spacing w:line="360" w:lineRule="auto"/>
        <w:ind w:firstLine="480" w:firstLineChars="200"/>
        <w:rPr>
          <w:sz w:val="24"/>
        </w:rPr>
      </w:pPr>
      <w:r>
        <w:rPr>
          <w:rFonts w:hint="eastAsia"/>
          <w:sz w:val="24"/>
        </w:rPr>
        <w:t>（2）品牌管理。投标人需负责品目规范、品牌库维护和建立、新增品目的审核，品目与品目对应需要持续的保障。</w:t>
      </w:r>
    </w:p>
    <w:p w14:paraId="167ECF7F">
      <w:pPr>
        <w:spacing w:line="360" w:lineRule="auto"/>
        <w:ind w:firstLine="480" w:firstLineChars="200"/>
        <w:rPr>
          <w:sz w:val="24"/>
        </w:rPr>
      </w:pPr>
      <w:r>
        <w:rPr>
          <w:rFonts w:hint="eastAsia"/>
          <w:sz w:val="24"/>
        </w:rPr>
        <w:t>（3）协助标准商品审核。投标人需建立标准商品库，通过专业运营大数据平台支撑，将标准库开放给天津市政府采购电子卖场使用。</w:t>
      </w:r>
    </w:p>
    <w:p w14:paraId="2D811ED6">
      <w:pPr>
        <w:spacing w:line="360" w:lineRule="auto"/>
        <w:ind w:firstLine="480" w:firstLineChars="200"/>
        <w:rPr>
          <w:sz w:val="24"/>
        </w:rPr>
      </w:pPr>
      <w:r>
        <w:rPr>
          <w:rFonts w:hint="eastAsia"/>
          <w:sz w:val="24"/>
        </w:rPr>
        <w:t>（4）商品上下架管理。投标人需配合对商品进行上下架审核管理。</w:t>
      </w:r>
    </w:p>
    <w:p w14:paraId="62204134">
      <w:pPr>
        <w:spacing w:line="360" w:lineRule="auto"/>
        <w:ind w:firstLine="480" w:firstLineChars="200"/>
        <w:rPr>
          <w:sz w:val="24"/>
        </w:rPr>
      </w:pPr>
      <w:r>
        <w:rPr>
          <w:rFonts w:hint="eastAsia"/>
          <w:sz w:val="24"/>
        </w:rPr>
        <w:t>（5）商品价格异常管理。天津市政府采购电子卖场将采用第三方价格监测系统来保证上架商品的价格可控、合理。第三方价格监测系统实时监测电子卖场的商品，会根据市场变化情况，不断更新商品的监测合理价格，会导致有可能市场已经下调了价格，天津市政府采购电子卖场供应商还没有调整，系统会提出预警，需要专业化的人工进行复核并处理。</w:t>
      </w:r>
    </w:p>
    <w:p w14:paraId="17BED5E5">
      <w:pPr>
        <w:spacing w:line="360" w:lineRule="auto"/>
        <w:ind w:firstLine="480" w:firstLineChars="200"/>
        <w:rPr>
          <w:sz w:val="24"/>
        </w:rPr>
      </w:pPr>
      <w:r>
        <w:rPr>
          <w:rFonts w:hint="eastAsia"/>
          <w:sz w:val="24"/>
        </w:rPr>
        <w:t>（6）商品日常巡检。投标人需安排专业人员对电子卖场各频道页、各采购馆巡查，包括页面是否报错、商品是否大图缺失图片、商品是否品目放置错误，是否有影响用户体验和不符合管理要求的情况，均应及时处理。</w:t>
      </w:r>
    </w:p>
    <w:p w14:paraId="6D5CFB18">
      <w:pPr>
        <w:spacing w:line="360" w:lineRule="auto"/>
        <w:ind w:firstLine="480" w:firstLineChars="200"/>
        <w:rPr>
          <w:sz w:val="24"/>
        </w:rPr>
      </w:pPr>
      <w:r>
        <w:rPr>
          <w:rFonts w:hint="eastAsia"/>
          <w:sz w:val="24"/>
        </w:rPr>
        <w:t>（7）商品违规存证管理。投标人配合对一些商品、供应商的不合规、不合法的情况，影响其信用或致处罚的，在供应商复核前，做好证据搜集、保全。</w:t>
      </w:r>
    </w:p>
    <w:p w14:paraId="27709B7E">
      <w:pPr>
        <w:spacing w:line="360" w:lineRule="auto"/>
        <w:ind w:firstLine="480" w:firstLineChars="200"/>
        <w:rPr>
          <w:sz w:val="24"/>
        </w:rPr>
      </w:pPr>
      <w:r>
        <w:rPr>
          <w:rFonts w:hint="eastAsia"/>
          <w:sz w:val="24"/>
        </w:rPr>
        <w:t>（8）商品异常预警处置。投标人负责对电子卖场商品触发各种系统管理规则、信用体系、价格管理措施而产生的异常预警信息，进行及时复检、存证、上下架等处置。</w:t>
      </w:r>
    </w:p>
    <w:p w14:paraId="12190A45">
      <w:pPr>
        <w:spacing w:line="360" w:lineRule="auto"/>
        <w:ind w:firstLine="480" w:firstLineChars="200"/>
        <w:rPr>
          <w:sz w:val="24"/>
        </w:rPr>
      </w:pPr>
      <w:r>
        <w:rPr>
          <w:rFonts w:hint="eastAsia"/>
          <w:sz w:val="24"/>
        </w:rPr>
        <w:t>1.3 交易管理</w:t>
      </w:r>
    </w:p>
    <w:p w14:paraId="3AB86352">
      <w:pPr>
        <w:spacing w:line="360" w:lineRule="auto"/>
        <w:ind w:firstLine="480" w:firstLineChars="200"/>
        <w:rPr>
          <w:sz w:val="24"/>
        </w:rPr>
      </w:pPr>
      <w:r>
        <w:rPr>
          <w:rFonts w:hint="eastAsia"/>
          <w:sz w:val="24"/>
        </w:rPr>
        <w:t>（1）创建采购协议。</w:t>
      </w:r>
    </w:p>
    <w:p w14:paraId="1638A9FD">
      <w:pPr>
        <w:spacing w:line="360" w:lineRule="auto"/>
        <w:ind w:firstLine="480" w:firstLineChars="200"/>
        <w:rPr>
          <w:sz w:val="24"/>
        </w:rPr>
      </w:pPr>
      <w:r>
        <w:rPr>
          <w:rFonts w:hint="eastAsia"/>
          <w:sz w:val="24"/>
        </w:rPr>
        <w:t>各区划货物及定点服务类征集入围活动结束后，由投标人协助按区划及品目新增相应供应商协议，并指导各区划入围供应商进行协议申请。</w:t>
      </w:r>
    </w:p>
    <w:p w14:paraId="23490F6C">
      <w:pPr>
        <w:spacing w:line="360" w:lineRule="auto"/>
        <w:ind w:firstLine="480" w:firstLineChars="200"/>
        <w:rPr>
          <w:sz w:val="24"/>
        </w:rPr>
      </w:pPr>
      <w:r>
        <w:rPr>
          <w:rFonts w:hint="eastAsia"/>
          <w:sz w:val="24"/>
        </w:rPr>
        <w:t>（2）协助采购协议审核。投标人负责协助对定点采购协议进行审核处理过程中的技术问题。</w:t>
      </w:r>
    </w:p>
    <w:p w14:paraId="07018FED">
      <w:pPr>
        <w:spacing w:line="360" w:lineRule="auto"/>
        <w:ind w:firstLine="480" w:firstLineChars="200"/>
        <w:rPr>
          <w:sz w:val="24"/>
        </w:rPr>
      </w:pPr>
      <w:r>
        <w:rPr>
          <w:rFonts w:hint="eastAsia"/>
          <w:sz w:val="24"/>
        </w:rPr>
        <w:t>（3）采购订单异常处置。投标人负责及时处理订单的异常情况。</w:t>
      </w:r>
    </w:p>
    <w:p w14:paraId="316013B6">
      <w:pPr>
        <w:spacing w:line="360" w:lineRule="auto"/>
        <w:ind w:firstLine="480" w:firstLineChars="200"/>
        <w:rPr>
          <w:sz w:val="24"/>
        </w:rPr>
      </w:pPr>
      <w:r>
        <w:rPr>
          <w:rFonts w:hint="eastAsia"/>
          <w:sz w:val="24"/>
        </w:rPr>
        <w:t>（4）采购结果违规分析。投标人负责协助对采购结果进行分析，及时发现采购人、供应商的可疑信息，提供管理决策。</w:t>
      </w:r>
    </w:p>
    <w:p w14:paraId="016C9D1B">
      <w:pPr>
        <w:spacing w:line="360" w:lineRule="auto"/>
        <w:ind w:firstLine="480" w:firstLineChars="200"/>
        <w:rPr>
          <w:sz w:val="24"/>
        </w:rPr>
      </w:pPr>
      <w:r>
        <w:rPr>
          <w:rFonts w:hint="eastAsia"/>
          <w:sz w:val="24"/>
        </w:rPr>
        <w:t>1.4 价格监测</w:t>
      </w:r>
    </w:p>
    <w:p w14:paraId="2F0CFF8B">
      <w:pPr>
        <w:spacing w:line="360" w:lineRule="auto"/>
        <w:ind w:firstLine="480" w:firstLineChars="200"/>
        <w:rPr>
          <w:sz w:val="24"/>
        </w:rPr>
      </w:pPr>
      <w:r>
        <w:rPr>
          <w:rFonts w:hint="eastAsia"/>
          <w:sz w:val="24"/>
        </w:rPr>
        <w:t>（1）巡查价格监测的准确性。投标人负责安排专人每周抽查2-3个品目商品在各大电商平台及官网报价，保证天津市政府采购电子卖场商品价格保持在平均价格内，保证价格监测结果准确性。</w:t>
      </w:r>
    </w:p>
    <w:p w14:paraId="11962FBE">
      <w:pPr>
        <w:spacing w:line="360" w:lineRule="auto"/>
        <w:ind w:firstLine="480" w:firstLineChars="200"/>
        <w:rPr>
          <w:sz w:val="24"/>
        </w:rPr>
      </w:pPr>
      <w:r>
        <w:rPr>
          <w:rFonts w:hint="eastAsia"/>
          <w:sz w:val="24"/>
        </w:rPr>
        <w:t>（2）监控价格监测接口稳定性。投标人负责对电子卖场与第三方价格监测系统实行接口对接进行监控，及时发现、跟踪反馈。</w:t>
      </w:r>
    </w:p>
    <w:p w14:paraId="328EC9C5">
      <w:pPr>
        <w:spacing w:line="360" w:lineRule="auto"/>
        <w:ind w:firstLine="480" w:firstLineChars="200"/>
        <w:rPr>
          <w:sz w:val="24"/>
        </w:rPr>
      </w:pPr>
      <w:r>
        <w:rPr>
          <w:rFonts w:hint="eastAsia"/>
          <w:sz w:val="24"/>
        </w:rPr>
        <w:t>（3）根据价格监测报告进行处置。根据目前每月由第三方价格监测机构出具价格监测报告，对价格监测报告反馈的问题商品和供应商进行及时处置，包括不限冻结帐号、商品强制下架、记入信用管理。</w:t>
      </w:r>
    </w:p>
    <w:p w14:paraId="590FCA83">
      <w:pPr>
        <w:spacing w:line="360" w:lineRule="auto"/>
        <w:ind w:firstLine="480" w:firstLineChars="200"/>
        <w:rPr>
          <w:sz w:val="24"/>
        </w:rPr>
      </w:pPr>
      <w:r>
        <w:rPr>
          <w:rFonts w:hint="eastAsia"/>
          <w:sz w:val="24"/>
        </w:rPr>
        <w:t>（4）对价格投诉情况分析反馈</w:t>
      </w:r>
    </w:p>
    <w:p w14:paraId="231DB99D">
      <w:pPr>
        <w:spacing w:line="360" w:lineRule="auto"/>
        <w:ind w:firstLine="480" w:firstLineChars="200"/>
        <w:rPr>
          <w:sz w:val="24"/>
        </w:rPr>
      </w:pPr>
      <w:r>
        <w:rPr>
          <w:rFonts w:hint="eastAsia"/>
          <w:sz w:val="24"/>
        </w:rPr>
        <w:t>根据采购人或供应商的价格投诉，及时查找问题，固定证据，并给出答复建议报管理方、执行机构或根据授权处置。</w:t>
      </w:r>
    </w:p>
    <w:p w14:paraId="1D1D708F">
      <w:pPr>
        <w:spacing w:line="360" w:lineRule="auto"/>
        <w:ind w:firstLine="480" w:firstLineChars="200"/>
        <w:rPr>
          <w:sz w:val="24"/>
        </w:rPr>
      </w:pPr>
      <w:r>
        <w:rPr>
          <w:rFonts w:hint="eastAsia"/>
          <w:sz w:val="24"/>
        </w:rPr>
        <w:t>1.5 投诉质疑服务</w:t>
      </w:r>
    </w:p>
    <w:p w14:paraId="01E14A73">
      <w:pPr>
        <w:spacing w:line="360" w:lineRule="auto"/>
        <w:ind w:firstLine="480" w:firstLineChars="200"/>
        <w:rPr>
          <w:sz w:val="24"/>
        </w:rPr>
      </w:pPr>
      <w:r>
        <w:rPr>
          <w:rFonts w:hint="eastAsia"/>
          <w:sz w:val="24"/>
        </w:rPr>
        <w:t>（1）记录分析投诉质疑情况。投标人负责根据热线及系统记录完整记录并汇总各渠道的投诉和质疑，及时报告采购人。</w:t>
      </w:r>
    </w:p>
    <w:p w14:paraId="674E658D">
      <w:pPr>
        <w:spacing w:line="360" w:lineRule="auto"/>
        <w:ind w:firstLine="480" w:firstLineChars="200"/>
        <w:rPr>
          <w:sz w:val="24"/>
        </w:rPr>
      </w:pPr>
      <w:r>
        <w:rPr>
          <w:rFonts w:hint="eastAsia"/>
          <w:sz w:val="24"/>
        </w:rPr>
        <w:t>（2）搜集提供证据材料。投标人负责对各渠道的质疑投诉搜集证据、痕迹材料，进行佐证或证明投诉质疑的真实性。</w:t>
      </w:r>
    </w:p>
    <w:p w14:paraId="2FFACBAE">
      <w:pPr>
        <w:spacing w:line="360" w:lineRule="auto"/>
        <w:ind w:firstLine="480" w:firstLineChars="200"/>
        <w:rPr>
          <w:sz w:val="24"/>
        </w:rPr>
      </w:pPr>
      <w:r>
        <w:rPr>
          <w:rFonts w:hint="eastAsia"/>
          <w:sz w:val="24"/>
        </w:rPr>
        <w:t>（3）协助采购人形成答复建议。投标人负责协助整理质疑投诉反馈的证据材料，通过专业《政府采购法》及相关法规、条例的理解，及系统中相关单据、流程的截图，形成答复材料，报采购人方。</w:t>
      </w:r>
    </w:p>
    <w:p w14:paraId="3C1E4DC7">
      <w:pPr>
        <w:spacing w:line="360" w:lineRule="auto"/>
        <w:ind w:firstLine="480" w:firstLineChars="200"/>
        <w:rPr>
          <w:sz w:val="24"/>
        </w:rPr>
      </w:pPr>
      <w:r>
        <w:rPr>
          <w:rFonts w:hint="eastAsia"/>
          <w:sz w:val="24"/>
        </w:rPr>
        <w:t>1.6 数据分析服务</w:t>
      </w:r>
    </w:p>
    <w:p w14:paraId="79D20233">
      <w:pPr>
        <w:spacing w:line="360" w:lineRule="auto"/>
        <w:ind w:firstLine="480" w:firstLineChars="200"/>
        <w:rPr>
          <w:sz w:val="24"/>
        </w:rPr>
      </w:pPr>
      <w:r>
        <w:rPr>
          <w:rFonts w:hint="eastAsia"/>
          <w:sz w:val="24"/>
        </w:rPr>
        <w:t>（1）平台运营分析报告。投标人负责按月汇总分析卖场的交易数据、运营数据，形成电子版提供执行方。</w:t>
      </w:r>
    </w:p>
    <w:p w14:paraId="0A3C64D7">
      <w:pPr>
        <w:spacing w:line="360" w:lineRule="auto"/>
        <w:ind w:firstLine="480" w:firstLineChars="200"/>
        <w:rPr>
          <w:sz w:val="24"/>
        </w:rPr>
      </w:pPr>
      <w:r>
        <w:rPr>
          <w:rFonts w:hint="eastAsia"/>
          <w:sz w:val="24"/>
        </w:rPr>
        <w:t>（2）按照管理方要求提供各类数据查询报表。投标人负责不定时按照管理方要求提供各类数据查询结果，供客户汇报或者分析使用。</w:t>
      </w:r>
    </w:p>
    <w:p w14:paraId="7D65A367">
      <w:pPr>
        <w:spacing w:line="360" w:lineRule="auto"/>
        <w:ind w:firstLine="480" w:firstLineChars="200"/>
        <w:rPr>
          <w:sz w:val="24"/>
        </w:rPr>
      </w:pPr>
      <w:r>
        <w:rPr>
          <w:rFonts w:hint="eastAsia"/>
          <w:sz w:val="24"/>
        </w:rPr>
        <w:t>1.7 培训服务</w:t>
      </w:r>
    </w:p>
    <w:p w14:paraId="5670584E">
      <w:pPr>
        <w:spacing w:line="360" w:lineRule="auto"/>
        <w:ind w:firstLine="480" w:firstLineChars="200"/>
        <w:rPr>
          <w:sz w:val="24"/>
        </w:rPr>
      </w:pPr>
      <w:r>
        <w:rPr>
          <w:rFonts w:hint="eastAsia"/>
          <w:sz w:val="24"/>
        </w:rPr>
        <w:t>（1）采购人现场培训。投标人负责协同管理机构做卖场的培训，操作演示培训。</w:t>
      </w:r>
    </w:p>
    <w:p w14:paraId="5FAD1771">
      <w:pPr>
        <w:spacing w:line="360" w:lineRule="auto"/>
        <w:ind w:firstLine="480" w:firstLineChars="200"/>
        <w:rPr>
          <w:sz w:val="24"/>
        </w:rPr>
      </w:pPr>
      <w:r>
        <w:rPr>
          <w:rFonts w:hint="eastAsia"/>
          <w:sz w:val="24"/>
        </w:rPr>
        <w:t>（2）供应商现场培训。投标人负责针对新入围供应商，按照交易中心要求，为供应商提供专门的，多场次的培训服务。</w:t>
      </w:r>
    </w:p>
    <w:p w14:paraId="115D843D">
      <w:pPr>
        <w:spacing w:line="360" w:lineRule="auto"/>
        <w:ind w:firstLine="480" w:firstLineChars="200"/>
        <w:rPr>
          <w:sz w:val="24"/>
        </w:rPr>
      </w:pPr>
      <w:r>
        <w:rPr>
          <w:rFonts w:hint="eastAsia"/>
          <w:sz w:val="24"/>
        </w:rPr>
        <w:t>（3）线上不定期培训。投标人负责通过后台报名的方式，达到一定人数时即进行培训，培训长期执行，保证新用户及时得到相关培训服务。</w:t>
      </w:r>
    </w:p>
    <w:p w14:paraId="3C4E2845">
      <w:pPr>
        <w:spacing w:line="360" w:lineRule="auto"/>
        <w:ind w:firstLine="480" w:firstLineChars="200"/>
        <w:rPr>
          <w:sz w:val="24"/>
        </w:rPr>
      </w:pPr>
      <w:r>
        <w:rPr>
          <w:rFonts w:hint="eastAsia"/>
          <w:sz w:val="24"/>
        </w:rPr>
        <w:t>2. 客户服务内容</w:t>
      </w:r>
    </w:p>
    <w:p w14:paraId="254C547D">
      <w:pPr>
        <w:spacing w:line="360" w:lineRule="auto"/>
        <w:ind w:firstLine="480" w:firstLineChars="200"/>
        <w:rPr>
          <w:sz w:val="24"/>
        </w:rPr>
      </w:pPr>
      <w:r>
        <w:rPr>
          <w:rFonts w:hint="eastAsia"/>
          <w:sz w:val="24"/>
        </w:rPr>
        <w:t>客服人员提供5*8小时客户服务。落实“首接负责制”。运营服务需提供三种用户咨询服务：400热线电话、在线客服和人工客服。</w:t>
      </w:r>
    </w:p>
    <w:p w14:paraId="310C490D">
      <w:pPr>
        <w:spacing w:line="360" w:lineRule="auto"/>
        <w:ind w:firstLine="480" w:firstLineChars="200"/>
        <w:rPr>
          <w:sz w:val="24"/>
        </w:rPr>
      </w:pPr>
      <w:r>
        <w:rPr>
          <w:rFonts w:hint="eastAsia"/>
          <w:sz w:val="24"/>
        </w:rPr>
        <w:t>2.1 问题受理</w:t>
      </w:r>
    </w:p>
    <w:p w14:paraId="27FE609A">
      <w:pPr>
        <w:spacing w:line="360" w:lineRule="auto"/>
        <w:ind w:firstLine="480" w:firstLineChars="200"/>
        <w:rPr>
          <w:sz w:val="24"/>
        </w:rPr>
      </w:pPr>
      <w:r>
        <w:rPr>
          <w:rFonts w:hint="eastAsia"/>
          <w:sz w:val="24"/>
        </w:rPr>
        <w:t>电话客服原则上只解答通过语言可以处理的问题，如涉及系统截图、操作演示等长时间占用服务资源的咨询，客服人员应告知用户使用在线客服通道，力争获得用户理解的同时，快速释放400线路资源。</w:t>
      </w:r>
    </w:p>
    <w:p w14:paraId="4EAE8C49">
      <w:pPr>
        <w:spacing w:line="360" w:lineRule="auto"/>
        <w:ind w:firstLine="480" w:firstLineChars="200"/>
        <w:rPr>
          <w:sz w:val="24"/>
        </w:rPr>
      </w:pPr>
      <w:r>
        <w:rPr>
          <w:rFonts w:hint="eastAsia"/>
          <w:sz w:val="24"/>
        </w:rPr>
        <w:t>在线客服人员对用户在线咨询的问题应第一时间进行解答，如遇无法解答、特殊情况需暂时离开等，在线客服人员需将当前对话转交其他客服人员。</w:t>
      </w:r>
    </w:p>
    <w:p w14:paraId="28CC0CD3">
      <w:pPr>
        <w:spacing w:line="360" w:lineRule="auto"/>
        <w:ind w:firstLine="480" w:firstLineChars="200"/>
        <w:rPr>
          <w:sz w:val="24"/>
        </w:rPr>
      </w:pPr>
      <w:r>
        <w:rPr>
          <w:rFonts w:hint="eastAsia"/>
          <w:sz w:val="24"/>
        </w:rPr>
        <w:t>若客服人员接收到用户的纠纷诉求，需引导用户使用在线纠纷功能，以便纠纷处理的全程记录。</w:t>
      </w:r>
    </w:p>
    <w:p w14:paraId="30710E6F">
      <w:pPr>
        <w:spacing w:line="360" w:lineRule="auto"/>
        <w:ind w:firstLine="480" w:firstLineChars="200"/>
        <w:rPr>
          <w:sz w:val="24"/>
        </w:rPr>
      </w:pPr>
      <w:r>
        <w:rPr>
          <w:rFonts w:hint="eastAsia"/>
          <w:sz w:val="24"/>
        </w:rPr>
        <w:t>2.2 问题解答</w:t>
      </w:r>
    </w:p>
    <w:p w14:paraId="53D61728">
      <w:pPr>
        <w:spacing w:line="360" w:lineRule="auto"/>
        <w:ind w:firstLine="480" w:firstLineChars="200"/>
        <w:rPr>
          <w:sz w:val="24"/>
        </w:rPr>
      </w:pPr>
      <w:r>
        <w:rPr>
          <w:rFonts w:hint="eastAsia"/>
          <w:sz w:val="24"/>
        </w:rPr>
        <w:t>当用户问题无法立即给出答复、需要技术团队解决时，电话客服应当提示用户先行释放资源，待问题解决后，需保证在承诺的时间节点给予反馈。</w:t>
      </w:r>
    </w:p>
    <w:p w14:paraId="19B97610">
      <w:pPr>
        <w:spacing w:line="360" w:lineRule="auto"/>
        <w:ind w:firstLine="480" w:firstLineChars="200"/>
        <w:rPr>
          <w:sz w:val="24"/>
        </w:rPr>
      </w:pPr>
      <w:r>
        <w:rPr>
          <w:rFonts w:hint="eastAsia"/>
          <w:sz w:val="24"/>
        </w:rPr>
        <w:t>如遇复杂问题，需长时间处理或延后回复等情况，需详细准确记录用户姓名、单位名称、联系方式等信息，并及时追溯处理。</w:t>
      </w:r>
    </w:p>
    <w:p w14:paraId="36D961B4">
      <w:pPr>
        <w:spacing w:line="360" w:lineRule="auto"/>
        <w:ind w:firstLine="480" w:firstLineChars="200"/>
        <w:rPr>
          <w:sz w:val="24"/>
        </w:rPr>
      </w:pPr>
      <w:r>
        <w:rPr>
          <w:rFonts w:hint="eastAsia"/>
          <w:sz w:val="24"/>
        </w:rPr>
        <w:t>客服人员需保证在下班前处理完当天的用户咨询与留言，无法当天解决的问题需与用户另行约定答复时间。</w:t>
      </w:r>
    </w:p>
    <w:p w14:paraId="55750655">
      <w:pPr>
        <w:spacing w:line="360" w:lineRule="auto"/>
        <w:ind w:firstLine="480" w:firstLineChars="200"/>
        <w:rPr>
          <w:sz w:val="24"/>
        </w:rPr>
      </w:pPr>
      <w:r>
        <w:rPr>
          <w:rFonts w:hint="eastAsia"/>
          <w:sz w:val="24"/>
        </w:rPr>
        <w:t>2.3 问题记录</w:t>
      </w:r>
    </w:p>
    <w:p w14:paraId="31F6C9CE">
      <w:pPr>
        <w:spacing w:line="360" w:lineRule="auto"/>
        <w:ind w:firstLine="480" w:firstLineChars="200"/>
        <w:rPr>
          <w:sz w:val="24"/>
        </w:rPr>
      </w:pPr>
      <w:r>
        <w:rPr>
          <w:rFonts w:hint="eastAsia"/>
          <w:sz w:val="24"/>
        </w:rPr>
        <w:t>客服人员在每会话结束后需要及时填写《业务记录单》，明确问题内容、用户信息、二次回复时间等，以便后续问题追踪处理及总结分析。</w:t>
      </w:r>
    </w:p>
    <w:p w14:paraId="1DA720D3">
      <w:pPr>
        <w:spacing w:line="360" w:lineRule="auto"/>
        <w:ind w:firstLine="480" w:firstLineChars="200"/>
        <w:rPr>
          <w:sz w:val="24"/>
        </w:rPr>
      </w:pPr>
      <w:r>
        <w:rPr>
          <w:rFonts w:hint="eastAsia"/>
          <w:sz w:val="24"/>
        </w:rPr>
        <w:t>2.4 问题分析</w:t>
      </w:r>
    </w:p>
    <w:p w14:paraId="4FFDBFDA">
      <w:pPr>
        <w:spacing w:line="360" w:lineRule="auto"/>
        <w:ind w:firstLine="480" w:firstLineChars="200"/>
        <w:rPr>
          <w:sz w:val="24"/>
        </w:rPr>
      </w:pPr>
      <w:r>
        <w:rPr>
          <w:rFonts w:hint="eastAsia"/>
          <w:sz w:val="24"/>
        </w:rPr>
        <w:t>每天下班前，客服主管对客服人员的业务记录进行汇总分析，将常见问题加入到知识库中。</w:t>
      </w:r>
    </w:p>
    <w:p w14:paraId="2F2CD8AD">
      <w:pPr>
        <w:spacing w:line="360" w:lineRule="auto"/>
        <w:ind w:firstLine="480" w:firstLineChars="200"/>
        <w:rPr>
          <w:sz w:val="24"/>
        </w:rPr>
      </w:pPr>
      <w:r>
        <w:rPr>
          <w:rFonts w:hint="eastAsia"/>
          <w:sz w:val="24"/>
        </w:rPr>
        <w:t>3. 运维服务内容</w:t>
      </w:r>
    </w:p>
    <w:p w14:paraId="495D33CD">
      <w:pPr>
        <w:spacing w:line="360" w:lineRule="auto"/>
        <w:ind w:firstLine="480" w:firstLineChars="200"/>
        <w:rPr>
          <w:sz w:val="24"/>
        </w:rPr>
      </w:pPr>
      <w:r>
        <w:rPr>
          <w:rFonts w:hint="eastAsia"/>
          <w:sz w:val="24"/>
        </w:rPr>
        <w:t>运维人员提供5*8小时技术支持服务。一般性问题，即时解决，技术难度较高的问题，当天回复。在重保特殊时期需可提供7*24驻场服务。</w:t>
      </w:r>
    </w:p>
    <w:p w14:paraId="069C8B1D">
      <w:pPr>
        <w:spacing w:line="360" w:lineRule="auto"/>
        <w:ind w:firstLine="480" w:firstLineChars="200"/>
        <w:rPr>
          <w:sz w:val="24"/>
        </w:rPr>
      </w:pPr>
      <w:r>
        <w:rPr>
          <w:rFonts w:hint="eastAsia"/>
          <w:sz w:val="24"/>
        </w:rPr>
        <w:t>运维人员要做好生产环境下Web服务集群、中间件服务集群、数据库服务集群的运维保障工作。从服务器系统性能、应用服务运行状态、业务数据管理等方面进行日常监控，对发现的故障及时做好沟通及应急处置工作。监测业务系统运行环境，定期查看设备运行状态、分析系统运行日志，及时发现和处理系统运行环境问题，维护业务系统运行环境稳定。</w:t>
      </w:r>
    </w:p>
    <w:p w14:paraId="15F93167">
      <w:pPr>
        <w:spacing w:line="360" w:lineRule="auto"/>
        <w:ind w:firstLine="480" w:firstLineChars="200"/>
        <w:rPr>
          <w:sz w:val="24"/>
        </w:rPr>
      </w:pPr>
      <w:r>
        <w:rPr>
          <w:rFonts w:hint="eastAsia"/>
          <w:sz w:val="24"/>
        </w:rPr>
        <w:t>运维人员根据政策法规的变动，对系统已有功能进行不断升级完善和调整以适应政府采购电子卖场管理需要。重点保障以下两类调整：</w:t>
      </w:r>
    </w:p>
    <w:p w14:paraId="09A12390">
      <w:pPr>
        <w:spacing w:line="360" w:lineRule="auto"/>
        <w:ind w:firstLine="480" w:firstLineChars="200"/>
        <w:rPr>
          <w:sz w:val="24"/>
        </w:rPr>
      </w:pPr>
      <w:r>
        <w:rPr>
          <w:rFonts w:hint="eastAsia"/>
          <w:sz w:val="24"/>
        </w:rPr>
        <w:t>因政策变动产生的升级需求，需要在政策实施时间节点之前完成测试与更新。</w:t>
      </w:r>
    </w:p>
    <w:p w14:paraId="4A84DF66">
      <w:pPr>
        <w:spacing w:line="360" w:lineRule="auto"/>
        <w:ind w:firstLine="480" w:firstLineChars="200"/>
        <w:rPr>
          <w:sz w:val="24"/>
        </w:rPr>
      </w:pPr>
      <w:r>
        <w:rPr>
          <w:rFonts w:hint="eastAsia"/>
          <w:sz w:val="24"/>
        </w:rPr>
        <w:t>因系统功能导致对政府采购电子卖场业务造成不良影响或造成相关方获得不当利益的问题，需要提供应急处理方案，并最快速度完成系统功能升级完善。</w:t>
      </w:r>
    </w:p>
    <w:p w14:paraId="08C1826E">
      <w:pPr>
        <w:spacing w:line="360" w:lineRule="auto"/>
        <w:ind w:firstLine="480" w:firstLineChars="200"/>
        <w:rPr>
          <w:sz w:val="24"/>
        </w:rPr>
      </w:pPr>
      <w:r>
        <w:rPr>
          <w:rFonts w:hint="eastAsia"/>
          <w:sz w:val="24"/>
        </w:rPr>
        <w:t>3.1 操作系统巡检</w:t>
      </w:r>
    </w:p>
    <w:p w14:paraId="013F8FD4">
      <w:pPr>
        <w:spacing w:line="360" w:lineRule="auto"/>
        <w:ind w:firstLine="480" w:firstLineChars="200"/>
        <w:rPr>
          <w:sz w:val="24"/>
        </w:rPr>
      </w:pPr>
      <w:r>
        <w:rPr>
          <w:rFonts w:hint="eastAsia"/>
          <w:sz w:val="24"/>
        </w:rPr>
        <w:t>运维人员对服务器操作系统进行定期巡检，了解系统运行状况，跟踪记录运行状态，对系统进行维护和优化，对安全漏洞进行扫描和修补，排除可能出现的问题隐患，巡检包括但不限于以下内容：</w:t>
      </w:r>
    </w:p>
    <w:p w14:paraId="3754CD34">
      <w:pPr>
        <w:spacing w:line="360" w:lineRule="auto"/>
        <w:ind w:firstLine="480" w:firstLineChars="200"/>
        <w:rPr>
          <w:sz w:val="24"/>
        </w:rPr>
      </w:pPr>
      <w:r>
        <w:rPr>
          <w:rFonts w:hint="eastAsia"/>
          <w:sz w:val="24"/>
        </w:rPr>
        <w:t>（1）检查操作系统的日志及时发现并处理异常情况。</w:t>
      </w:r>
    </w:p>
    <w:p w14:paraId="592B2593">
      <w:pPr>
        <w:spacing w:line="360" w:lineRule="auto"/>
        <w:ind w:firstLine="480" w:firstLineChars="200"/>
        <w:rPr>
          <w:sz w:val="24"/>
        </w:rPr>
      </w:pPr>
      <w:r>
        <w:rPr>
          <w:rFonts w:hint="eastAsia"/>
          <w:sz w:val="24"/>
        </w:rPr>
        <w:t>（2）检查操作系统的CPU、内存及磁盘及磁盘空间的使用情况，发现异常及时查找问题并解决。</w:t>
      </w:r>
    </w:p>
    <w:p w14:paraId="120084BC">
      <w:pPr>
        <w:spacing w:line="360" w:lineRule="auto"/>
        <w:ind w:firstLine="480" w:firstLineChars="200"/>
        <w:rPr>
          <w:sz w:val="24"/>
        </w:rPr>
      </w:pPr>
      <w:r>
        <w:rPr>
          <w:rFonts w:hint="eastAsia"/>
          <w:sz w:val="24"/>
        </w:rPr>
        <w:t>（3）扫描安全漏洞，并进行修补。</w:t>
      </w:r>
    </w:p>
    <w:p w14:paraId="72C49FFC">
      <w:pPr>
        <w:spacing w:line="360" w:lineRule="auto"/>
        <w:ind w:firstLine="480" w:firstLineChars="200"/>
        <w:rPr>
          <w:sz w:val="24"/>
        </w:rPr>
      </w:pPr>
      <w:r>
        <w:rPr>
          <w:rFonts w:hint="eastAsia"/>
          <w:sz w:val="24"/>
        </w:rPr>
        <w:t>（4）检查操作系统的端口、用户权限、相关服务等是否正常。</w:t>
      </w:r>
    </w:p>
    <w:p w14:paraId="02280FB0">
      <w:pPr>
        <w:spacing w:line="360" w:lineRule="auto"/>
        <w:ind w:firstLine="480" w:firstLineChars="200"/>
        <w:rPr>
          <w:sz w:val="24"/>
        </w:rPr>
      </w:pPr>
      <w:r>
        <w:rPr>
          <w:rFonts w:hint="eastAsia"/>
          <w:sz w:val="24"/>
        </w:rPr>
        <w:t>3.2 数据库巡检</w:t>
      </w:r>
    </w:p>
    <w:p w14:paraId="6BDFBBEC">
      <w:pPr>
        <w:spacing w:line="360" w:lineRule="auto"/>
        <w:ind w:firstLine="480" w:firstLineChars="200"/>
        <w:rPr>
          <w:sz w:val="24"/>
        </w:rPr>
      </w:pPr>
      <w:r>
        <w:rPr>
          <w:rFonts w:hint="eastAsia"/>
          <w:sz w:val="24"/>
        </w:rPr>
        <w:t>运维人员定期对数据库进行定期巡检。巡检包括但不限于以下内容：</w:t>
      </w:r>
    </w:p>
    <w:p w14:paraId="6C62EE36">
      <w:pPr>
        <w:spacing w:line="360" w:lineRule="auto"/>
        <w:ind w:firstLine="480" w:firstLineChars="200"/>
        <w:rPr>
          <w:sz w:val="24"/>
        </w:rPr>
      </w:pPr>
      <w:r>
        <w:rPr>
          <w:rFonts w:hint="eastAsia"/>
          <w:sz w:val="24"/>
        </w:rPr>
        <w:t>（1）日常数据库的常规检查，如查看数据库实例状态、表空间和数据文件的状态、连接会话数及等待锁数量占总会话数的比率等。</w:t>
      </w:r>
    </w:p>
    <w:p w14:paraId="6D10E042">
      <w:pPr>
        <w:spacing w:line="360" w:lineRule="auto"/>
        <w:ind w:firstLine="480" w:firstLineChars="200"/>
        <w:rPr>
          <w:sz w:val="24"/>
        </w:rPr>
      </w:pPr>
      <w:r>
        <w:rPr>
          <w:rFonts w:hint="eastAsia"/>
          <w:sz w:val="24"/>
        </w:rPr>
        <w:t>（2）数据库性能检查，如查看SQL语句时间消耗排名情况、共享缓存区命中率、表空间及数据文件上的I/O分布、数据缓冲池的命中率等。</w:t>
      </w:r>
    </w:p>
    <w:p w14:paraId="353C4682">
      <w:pPr>
        <w:spacing w:line="360" w:lineRule="auto"/>
        <w:ind w:firstLine="480" w:firstLineChars="200"/>
        <w:rPr>
          <w:sz w:val="24"/>
        </w:rPr>
      </w:pPr>
      <w:r>
        <w:rPr>
          <w:rFonts w:hint="eastAsia"/>
          <w:sz w:val="24"/>
        </w:rPr>
        <w:t>（3）备份恢复策略检查和维护，如：检查是否有按备份策略备份，确认mysql备份策略已经生效，并检查备份数据的有效性等。</w:t>
      </w:r>
    </w:p>
    <w:p w14:paraId="7474AF3B">
      <w:pPr>
        <w:spacing w:line="360" w:lineRule="auto"/>
        <w:ind w:firstLine="480" w:firstLineChars="200"/>
        <w:rPr>
          <w:sz w:val="24"/>
        </w:rPr>
      </w:pPr>
      <w:r>
        <w:rPr>
          <w:rFonts w:hint="eastAsia"/>
          <w:sz w:val="24"/>
        </w:rPr>
        <w:t>3.3 应用服务器巡检</w:t>
      </w:r>
    </w:p>
    <w:p w14:paraId="5DA08E2F">
      <w:pPr>
        <w:spacing w:line="360" w:lineRule="auto"/>
        <w:ind w:firstLine="480" w:firstLineChars="200"/>
        <w:rPr>
          <w:sz w:val="24"/>
        </w:rPr>
      </w:pPr>
      <w:r>
        <w:rPr>
          <w:rFonts w:hint="eastAsia"/>
          <w:sz w:val="24"/>
        </w:rPr>
        <w:t>运维人员定期对应用服务器Web中间件进行定期巡检。巡检包括但不限于以下内容：</w:t>
      </w:r>
    </w:p>
    <w:p w14:paraId="0BBCEE54">
      <w:pPr>
        <w:spacing w:line="360" w:lineRule="auto"/>
        <w:ind w:firstLine="480" w:firstLineChars="200"/>
        <w:rPr>
          <w:sz w:val="24"/>
        </w:rPr>
      </w:pPr>
      <w:r>
        <w:rPr>
          <w:rFonts w:hint="eastAsia"/>
          <w:sz w:val="24"/>
        </w:rPr>
        <w:t>（1）检查中间件运行日志，查看web中间件状态是否正常；</w:t>
      </w:r>
    </w:p>
    <w:p w14:paraId="7DDD980F">
      <w:pPr>
        <w:spacing w:line="360" w:lineRule="auto"/>
        <w:ind w:firstLine="480" w:firstLineChars="200"/>
        <w:rPr>
          <w:sz w:val="24"/>
        </w:rPr>
      </w:pPr>
      <w:r>
        <w:rPr>
          <w:rFonts w:hint="eastAsia"/>
          <w:sz w:val="24"/>
        </w:rPr>
        <w:t>（2）根据系统整体运行情况，检查中间件的java虚拟内存，结合应用服务器系统配置给出合理的内存配置，并跟踪运行情况。</w:t>
      </w:r>
    </w:p>
    <w:p w14:paraId="0E986BA1">
      <w:pPr>
        <w:spacing w:line="360" w:lineRule="auto"/>
        <w:ind w:firstLine="480" w:firstLineChars="200"/>
        <w:rPr>
          <w:sz w:val="24"/>
        </w:rPr>
      </w:pPr>
      <w:r>
        <w:rPr>
          <w:rFonts w:hint="eastAsia"/>
          <w:sz w:val="24"/>
        </w:rPr>
        <w:t>（3）根据系统整体运行情况，检查中间件的数据库连接配置，根据运行情况配置合理的数据库连接数及其他相对应的参数，优化中间件的性能。</w:t>
      </w:r>
    </w:p>
    <w:p w14:paraId="5C66DAC2">
      <w:pPr>
        <w:spacing w:line="360" w:lineRule="auto"/>
        <w:ind w:firstLine="480" w:firstLineChars="200"/>
        <w:rPr>
          <w:sz w:val="24"/>
        </w:rPr>
      </w:pPr>
      <w:r>
        <w:rPr>
          <w:rFonts w:hint="eastAsia"/>
          <w:sz w:val="24"/>
        </w:rPr>
        <w:t>运维人员在运维过程中收集电子卖场各类系统功能问题并记录反馈，对系统功能进行优化或迭代，及时跟进开发部门对各类问题的处理进度及结果，将处理结果上报电子卖场管理部门。包括但不限于升级类问题、优化类问题、bug类问题等，针对系统性能提出改进建议。</w:t>
      </w:r>
    </w:p>
    <w:p w14:paraId="6EE48808">
      <w:pPr>
        <w:spacing w:line="360" w:lineRule="auto"/>
        <w:ind w:firstLine="480" w:firstLineChars="200"/>
        <w:rPr>
          <w:sz w:val="24"/>
        </w:rPr>
      </w:pPr>
      <w:r>
        <w:rPr>
          <w:rFonts w:hint="eastAsia"/>
          <w:sz w:val="24"/>
        </w:rPr>
        <w:t>3.4 系统环境优化</w:t>
      </w:r>
    </w:p>
    <w:p w14:paraId="18A5AA6D">
      <w:pPr>
        <w:spacing w:line="360" w:lineRule="auto"/>
        <w:ind w:firstLine="480" w:firstLineChars="200"/>
        <w:rPr>
          <w:sz w:val="24"/>
        </w:rPr>
      </w:pPr>
      <w:r>
        <w:rPr>
          <w:rFonts w:hint="eastAsia"/>
          <w:sz w:val="24"/>
        </w:rPr>
        <w:t>运维人员在运维服务期内进行周期性的系统性能诊断，并根据诊断结果，对相关配置参数进行合理调整，通过对系统的运行环境（操作系统、系统软件）、网络环境、应用系统进行综合调整和配置，使系统的性能逐步完善，达到优化，始终处于最佳运行状态。</w:t>
      </w:r>
    </w:p>
    <w:p w14:paraId="25CABCAA">
      <w:pPr>
        <w:spacing w:line="360" w:lineRule="auto"/>
        <w:ind w:firstLine="480" w:firstLineChars="200"/>
        <w:rPr>
          <w:sz w:val="24"/>
        </w:rPr>
      </w:pPr>
      <w:r>
        <w:rPr>
          <w:rFonts w:hint="eastAsia"/>
          <w:sz w:val="24"/>
        </w:rPr>
        <w:t>3.5 系统软件升级</w:t>
      </w:r>
    </w:p>
    <w:p w14:paraId="3FFA814E">
      <w:pPr>
        <w:spacing w:line="360" w:lineRule="auto"/>
        <w:ind w:firstLine="480" w:firstLineChars="200"/>
        <w:rPr>
          <w:sz w:val="24"/>
        </w:rPr>
      </w:pPr>
      <w:r>
        <w:rPr>
          <w:rFonts w:hint="eastAsia"/>
          <w:sz w:val="24"/>
        </w:rPr>
        <w:t>运维人员根据政策法规的变动，免费对系统已有功能进行不断升级完善和调整以适应政府采购电子卖场管理需要，并针对调整内容给出方案和工作排期。重点保障以下两类调整：</w:t>
      </w:r>
    </w:p>
    <w:p w14:paraId="507C110C">
      <w:pPr>
        <w:spacing w:line="360" w:lineRule="auto"/>
        <w:ind w:firstLine="480" w:firstLineChars="200"/>
        <w:rPr>
          <w:sz w:val="24"/>
        </w:rPr>
      </w:pPr>
      <w:r>
        <w:rPr>
          <w:rFonts w:hint="eastAsia"/>
          <w:sz w:val="24"/>
        </w:rPr>
        <w:t>（1）因政策变动产生的升级需求，需要在政策实施时间节点之前完成测试与更新。</w:t>
      </w:r>
    </w:p>
    <w:p w14:paraId="6C32F7EB">
      <w:pPr>
        <w:spacing w:line="360" w:lineRule="auto"/>
        <w:ind w:firstLine="480" w:firstLineChars="200"/>
        <w:rPr>
          <w:sz w:val="24"/>
        </w:rPr>
      </w:pPr>
      <w:r>
        <w:rPr>
          <w:rFonts w:hint="eastAsia"/>
          <w:sz w:val="24"/>
        </w:rPr>
        <w:t>（2）因系统功能导致对政府采购电子卖场业务造成不良影响或造成相关方获得不当利益的问题，需要提供应急处理方案，并最快速度完成系统功能升级完善。</w:t>
      </w:r>
    </w:p>
    <w:p w14:paraId="36C745F1">
      <w:pPr>
        <w:spacing w:line="360" w:lineRule="auto"/>
        <w:ind w:firstLine="480" w:firstLineChars="200"/>
        <w:rPr>
          <w:sz w:val="24"/>
        </w:rPr>
      </w:pPr>
      <w:r>
        <w:rPr>
          <w:rFonts w:hint="eastAsia"/>
          <w:sz w:val="24"/>
        </w:rPr>
        <w:t>4. 驻场服务</w:t>
      </w:r>
    </w:p>
    <w:p w14:paraId="0008FEC5">
      <w:pPr>
        <w:spacing w:line="360" w:lineRule="auto"/>
        <w:ind w:firstLine="480" w:firstLineChars="200"/>
        <w:rPr>
          <w:sz w:val="24"/>
        </w:rPr>
      </w:pPr>
      <w:r>
        <w:rPr>
          <w:rFonts w:hint="eastAsia"/>
          <w:sz w:val="24"/>
        </w:rPr>
        <w:t>项目服务期限为一年。软件交付使用后，需提供不少于3人的驻场团队进行5*8小时的服务。在重保特殊时期需可提供7*24小时驻场服务。</w:t>
      </w:r>
      <w:r>
        <w:rPr>
          <w:sz w:val="24"/>
        </w:rPr>
        <w:br w:type="page"/>
      </w:r>
    </w:p>
    <w:p w14:paraId="740008DD">
      <w:pPr>
        <w:autoSpaceDE w:val="0"/>
        <w:autoSpaceDN w:val="0"/>
        <w:adjustRightInd w:val="0"/>
        <w:spacing w:line="360" w:lineRule="auto"/>
        <w:jc w:val="center"/>
        <w:rPr>
          <w:sz w:val="24"/>
        </w:rPr>
      </w:pPr>
      <w:r>
        <w:rPr>
          <w:rFonts w:hint="eastAsia"/>
          <w:sz w:val="24"/>
        </w:rPr>
        <w:t>C． 合同条款</w:t>
      </w:r>
    </w:p>
    <w:p w14:paraId="0C8A8A2D">
      <w:pPr>
        <w:tabs>
          <w:tab w:val="left" w:pos="412"/>
          <w:tab w:val="left" w:pos="618"/>
        </w:tabs>
        <w:spacing w:line="520" w:lineRule="exact"/>
        <w:jc w:val="center"/>
        <w:rPr>
          <w:b/>
          <w:sz w:val="30"/>
          <w:szCs w:val="30"/>
        </w:rPr>
      </w:pPr>
      <w:r>
        <w:rPr>
          <w:b/>
          <w:sz w:val="30"/>
          <w:szCs w:val="30"/>
        </w:rPr>
        <w:t>合同一般条款</w:t>
      </w:r>
    </w:p>
    <w:p w14:paraId="07D341DA">
      <w:pPr>
        <w:tabs>
          <w:tab w:val="left" w:pos="0"/>
          <w:tab w:val="left" w:pos="315"/>
        </w:tabs>
        <w:spacing w:line="520" w:lineRule="exact"/>
        <w:ind w:firstLine="480"/>
        <w:rPr>
          <w:sz w:val="24"/>
          <w:szCs w:val="24"/>
        </w:rPr>
      </w:pPr>
      <w:r>
        <w:rPr>
          <w:sz w:val="24"/>
          <w:szCs w:val="24"/>
        </w:rPr>
        <w:t xml:space="preserve">需方：  </w:t>
      </w:r>
    </w:p>
    <w:p w14:paraId="003741E4">
      <w:pPr>
        <w:tabs>
          <w:tab w:val="left" w:pos="0"/>
          <w:tab w:val="left" w:pos="315"/>
        </w:tabs>
        <w:spacing w:line="520" w:lineRule="exact"/>
        <w:ind w:firstLine="480"/>
        <w:rPr>
          <w:sz w:val="24"/>
          <w:szCs w:val="24"/>
        </w:rPr>
      </w:pPr>
      <w:r>
        <w:rPr>
          <w:sz w:val="24"/>
          <w:szCs w:val="24"/>
        </w:rPr>
        <w:t xml:space="preserve">供方： </w:t>
      </w:r>
    </w:p>
    <w:p w14:paraId="5B8594F6">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单一来源采购文件</w:t>
      </w:r>
      <w:r>
        <w:rPr>
          <w:sz w:val="24"/>
          <w:szCs w:val="24"/>
        </w:rPr>
        <w:t>的要求，并经双方协商一致，达成  合同：</w:t>
      </w:r>
    </w:p>
    <w:p w14:paraId="4A50F19E">
      <w:pPr>
        <w:pStyle w:val="93"/>
        <w:numPr>
          <w:ilvl w:val="0"/>
          <w:numId w:val="7"/>
        </w:numPr>
        <w:spacing w:line="480" w:lineRule="exact"/>
        <w:ind w:firstLineChars="0"/>
        <w:rPr>
          <w:sz w:val="24"/>
          <w:szCs w:val="24"/>
        </w:rPr>
      </w:pPr>
      <w:r>
        <w:rPr>
          <w:rFonts w:hint="eastAsia"/>
          <w:sz w:val="24"/>
          <w:szCs w:val="24"/>
        </w:rPr>
        <w:t>本合同为中小企业预留合同</w:t>
      </w:r>
    </w:p>
    <w:p w14:paraId="1023FCF0">
      <w:pPr>
        <w:pStyle w:val="93"/>
        <w:numPr>
          <w:ilvl w:val="0"/>
          <w:numId w:val="7"/>
        </w:numPr>
        <w:spacing w:line="480" w:lineRule="exact"/>
        <w:ind w:firstLineChars="0"/>
        <w:rPr>
          <w:sz w:val="24"/>
          <w:szCs w:val="24"/>
        </w:rPr>
      </w:pPr>
      <w:r>
        <w:rPr>
          <w:rFonts w:hint="eastAsia"/>
          <w:sz w:val="24"/>
          <w:szCs w:val="24"/>
        </w:rPr>
        <w:t>本合同非中小企业预留合同</w:t>
      </w:r>
    </w:p>
    <w:p w14:paraId="003C508E">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3F53DCDE">
      <w:pPr>
        <w:tabs>
          <w:tab w:val="left" w:pos="1133"/>
        </w:tabs>
        <w:spacing w:line="520" w:lineRule="exact"/>
        <w:ind w:firstLine="480" w:firstLineChars="200"/>
        <w:rPr>
          <w:sz w:val="24"/>
          <w:szCs w:val="24"/>
        </w:rPr>
      </w:pPr>
      <w:r>
        <w:rPr>
          <w:sz w:val="24"/>
          <w:szCs w:val="24"/>
        </w:rPr>
        <w:t>一、采购内容：  （详见附件）</w:t>
      </w:r>
    </w:p>
    <w:p w14:paraId="6217A532">
      <w:pPr>
        <w:tabs>
          <w:tab w:val="left" w:pos="1133"/>
        </w:tabs>
        <w:spacing w:line="520" w:lineRule="exact"/>
        <w:ind w:firstLine="480" w:firstLineChars="200"/>
        <w:rPr>
          <w:sz w:val="24"/>
          <w:szCs w:val="24"/>
        </w:rPr>
      </w:pPr>
      <w:r>
        <w:rPr>
          <w:sz w:val="24"/>
          <w:szCs w:val="24"/>
        </w:rPr>
        <w:t xml:space="preserve">    合同总价款：人民币  元</w:t>
      </w:r>
    </w:p>
    <w:p w14:paraId="3433F39F">
      <w:pPr>
        <w:tabs>
          <w:tab w:val="left" w:pos="1133"/>
        </w:tabs>
        <w:spacing w:line="520" w:lineRule="exact"/>
        <w:ind w:firstLine="480" w:firstLineChars="200"/>
        <w:rPr>
          <w:sz w:val="24"/>
          <w:szCs w:val="24"/>
        </w:rPr>
      </w:pPr>
      <w:r>
        <w:rPr>
          <w:sz w:val="24"/>
          <w:szCs w:val="24"/>
        </w:rPr>
        <w:t xml:space="preserve">    大写：人民币  元整</w:t>
      </w:r>
    </w:p>
    <w:p w14:paraId="2A94B9BF">
      <w:pPr>
        <w:tabs>
          <w:tab w:val="left" w:pos="360"/>
        </w:tabs>
        <w:spacing w:line="520" w:lineRule="exact"/>
        <w:ind w:firstLine="480" w:firstLineChars="200"/>
        <w:rPr>
          <w:sz w:val="24"/>
          <w:szCs w:val="24"/>
        </w:rPr>
      </w:pPr>
      <w:r>
        <w:rPr>
          <w:sz w:val="24"/>
          <w:szCs w:val="24"/>
        </w:rPr>
        <w:t>二、质量要求及对质量负责条件和期限：见附件。</w:t>
      </w:r>
    </w:p>
    <w:p w14:paraId="453B56FB">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14:paraId="353CFE0F">
      <w:pPr>
        <w:tabs>
          <w:tab w:val="left" w:pos="360"/>
        </w:tabs>
        <w:spacing w:line="520" w:lineRule="exact"/>
        <w:ind w:firstLine="480" w:firstLineChars="200"/>
        <w:rPr>
          <w:sz w:val="24"/>
          <w:szCs w:val="24"/>
        </w:rPr>
      </w:pPr>
      <w:r>
        <w:rPr>
          <w:sz w:val="24"/>
          <w:szCs w:val="24"/>
        </w:rPr>
        <w:t>四、</w:t>
      </w:r>
      <w:r>
        <w:rPr>
          <w:rFonts w:hint="eastAsia"/>
          <w:sz w:val="24"/>
          <w:szCs w:val="24"/>
        </w:rPr>
        <w:t>服务</w:t>
      </w:r>
      <w:r>
        <w:rPr>
          <w:sz w:val="24"/>
          <w:szCs w:val="24"/>
        </w:rPr>
        <w:t>时间、地点、方式：见附件。</w:t>
      </w:r>
    </w:p>
    <w:p w14:paraId="6A828FBC">
      <w:pPr>
        <w:tabs>
          <w:tab w:val="left" w:pos="360"/>
        </w:tabs>
        <w:spacing w:line="520" w:lineRule="exact"/>
        <w:ind w:firstLine="480"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14:paraId="2DDA0E8F">
      <w:pPr>
        <w:tabs>
          <w:tab w:val="left" w:pos="360"/>
          <w:tab w:val="left" w:pos="721"/>
        </w:tabs>
        <w:spacing w:line="520" w:lineRule="exact"/>
        <w:rPr>
          <w:sz w:val="24"/>
          <w:szCs w:val="24"/>
        </w:rPr>
      </w:pPr>
      <w:r>
        <w:rPr>
          <w:sz w:val="24"/>
          <w:szCs w:val="24"/>
        </w:rPr>
        <w:t xml:space="preserve">    六、验收工作由需方负责对合同进行验收。</w:t>
      </w:r>
    </w:p>
    <w:p w14:paraId="0AD6237F">
      <w:pPr>
        <w:tabs>
          <w:tab w:val="left" w:pos="360"/>
        </w:tabs>
        <w:spacing w:line="520" w:lineRule="exact"/>
        <w:rPr>
          <w:sz w:val="24"/>
          <w:szCs w:val="24"/>
        </w:rPr>
      </w:pPr>
      <w:r>
        <w:rPr>
          <w:sz w:val="24"/>
          <w:szCs w:val="24"/>
        </w:rPr>
        <w:t xml:space="preserve">    七、货款支付方式：见附件。</w:t>
      </w:r>
    </w:p>
    <w:p w14:paraId="4298888C">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14:paraId="6C8FA280">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14:paraId="473D8172">
      <w:pPr>
        <w:tabs>
          <w:tab w:val="left" w:pos="0"/>
          <w:tab w:val="left" w:pos="721"/>
        </w:tabs>
        <w:spacing w:line="520" w:lineRule="exact"/>
        <w:ind w:firstLine="513" w:firstLineChars="214"/>
        <w:rPr>
          <w:sz w:val="24"/>
          <w:szCs w:val="24"/>
        </w:rPr>
      </w:pPr>
      <w:r>
        <w:rPr>
          <w:rFonts w:hint="eastAsia"/>
          <w:sz w:val="24"/>
          <w:szCs w:val="24"/>
        </w:rPr>
        <w:t>账</w:t>
      </w:r>
      <w:r>
        <w:rPr>
          <w:sz w:val="24"/>
          <w:szCs w:val="24"/>
        </w:rPr>
        <w:t xml:space="preserve">       号：</w:t>
      </w:r>
      <w:r>
        <w:rPr>
          <w:sz w:val="24"/>
          <w:szCs w:val="24"/>
          <w:u w:val="single"/>
        </w:rPr>
        <w:t xml:space="preserve">                                                   </w:t>
      </w:r>
      <w:r>
        <w:rPr>
          <w:szCs w:val="24"/>
        </w:rPr>
        <w:t>。</w:t>
      </w:r>
    </w:p>
    <w:p w14:paraId="103A3B90">
      <w:pPr>
        <w:tabs>
          <w:tab w:val="left" w:pos="360"/>
        </w:tabs>
        <w:spacing w:line="520" w:lineRule="exact"/>
        <w:ind w:firstLine="480" w:firstLineChars="200"/>
        <w:rPr>
          <w:sz w:val="24"/>
          <w:szCs w:val="24"/>
        </w:rPr>
      </w:pPr>
      <w:r>
        <w:rPr>
          <w:rFonts w:hint="eastAsia"/>
          <w:sz w:val="24"/>
          <w:szCs w:val="24"/>
        </w:rPr>
        <w:t>八</w:t>
      </w:r>
      <w:r>
        <w:rPr>
          <w:sz w:val="24"/>
          <w:szCs w:val="24"/>
        </w:rPr>
        <w:t>、有关涉及本合同供方向天津市政府采购中心所提交的</w:t>
      </w:r>
      <w:r>
        <w:rPr>
          <w:rFonts w:hint="eastAsia"/>
          <w:sz w:val="24"/>
          <w:szCs w:val="24"/>
        </w:rPr>
        <w:t>响应</w:t>
      </w:r>
      <w:r>
        <w:rPr>
          <w:sz w:val="24"/>
          <w:szCs w:val="24"/>
        </w:rPr>
        <w:t>文件及有关澄清资料和服务承诺均视为本合同不可分割的部分，对供方具有约束力。</w:t>
      </w:r>
    </w:p>
    <w:p w14:paraId="26E1B8A4">
      <w:pPr>
        <w:tabs>
          <w:tab w:val="left" w:pos="0"/>
          <w:tab w:val="left" w:pos="315"/>
        </w:tabs>
        <w:spacing w:line="520" w:lineRule="exact"/>
        <w:ind w:firstLine="480"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34"/>
        <w:tblW w:w="0" w:type="auto"/>
        <w:tblInd w:w="0" w:type="dxa"/>
        <w:tblLayout w:type="autofit"/>
        <w:tblCellMar>
          <w:top w:w="0" w:type="dxa"/>
          <w:left w:w="108" w:type="dxa"/>
          <w:bottom w:w="0" w:type="dxa"/>
          <w:right w:w="108" w:type="dxa"/>
        </w:tblCellMar>
      </w:tblPr>
      <w:tblGrid>
        <w:gridCol w:w="4261"/>
        <w:gridCol w:w="4261"/>
      </w:tblGrid>
      <w:tr w14:paraId="60935672">
        <w:tblPrEx>
          <w:tblCellMar>
            <w:top w:w="0" w:type="dxa"/>
            <w:left w:w="108" w:type="dxa"/>
            <w:bottom w:w="0" w:type="dxa"/>
            <w:right w:w="108" w:type="dxa"/>
          </w:tblCellMar>
        </w:tblPrEx>
        <w:tc>
          <w:tcPr>
            <w:tcW w:w="4261" w:type="dxa"/>
          </w:tcPr>
          <w:p w14:paraId="40A75359">
            <w:pPr>
              <w:tabs>
                <w:tab w:val="left" w:pos="0"/>
                <w:tab w:val="left" w:pos="315"/>
              </w:tabs>
              <w:spacing w:line="520" w:lineRule="exact"/>
              <w:rPr>
                <w:sz w:val="24"/>
                <w:szCs w:val="24"/>
              </w:rPr>
            </w:pPr>
            <w:r>
              <w:rPr>
                <w:sz w:val="24"/>
                <w:szCs w:val="24"/>
              </w:rPr>
              <w:t xml:space="preserve">供方（公章）： </w:t>
            </w:r>
          </w:p>
        </w:tc>
        <w:tc>
          <w:tcPr>
            <w:tcW w:w="4261" w:type="dxa"/>
          </w:tcPr>
          <w:p w14:paraId="7EA91C29">
            <w:pPr>
              <w:tabs>
                <w:tab w:val="left" w:pos="0"/>
                <w:tab w:val="left" w:pos="315"/>
              </w:tabs>
              <w:spacing w:line="520" w:lineRule="exact"/>
              <w:rPr>
                <w:sz w:val="24"/>
                <w:szCs w:val="24"/>
              </w:rPr>
            </w:pPr>
            <w:r>
              <w:rPr>
                <w:sz w:val="24"/>
                <w:szCs w:val="24"/>
              </w:rPr>
              <w:t xml:space="preserve">需方（公章）： </w:t>
            </w:r>
          </w:p>
        </w:tc>
      </w:tr>
      <w:tr w14:paraId="363D7430">
        <w:tblPrEx>
          <w:tblCellMar>
            <w:top w:w="0" w:type="dxa"/>
            <w:left w:w="108" w:type="dxa"/>
            <w:bottom w:w="0" w:type="dxa"/>
            <w:right w:w="108" w:type="dxa"/>
          </w:tblCellMar>
        </w:tblPrEx>
        <w:tc>
          <w:tcPr>
            <w:tcW w:w="4261" w:type="dxa"/>
          </w:tcPr>
          <w:p w14:paraId="0440873E">
            <w:pPr>
              <w:tabs>
                <w:tab w:val="left" w:pos="0"/>
                <w:tab w:val="left" w:pos="315"/>
              </w:tabs>
              <w:spacing w:line="520" w:lineRule="exact"/>
              <w:rPr>
                <w:sz w:val="24"/>
                <w:szCs w:val="24"/>
              </w:rPr>
            </w:pPr>
            <w:r>
              <w:rPr>
                <w:sz w:val="24"/>
                <w:szCs w:val="24"/>
              </w:rPr>
              <w:t xml:space="preserve">地址：  </w:t>
            </w:r>
          </w:p>
        </w:tc>
        <w:tc>
          <w:tcPr>
            <w:tcW w:w="4261" w:type="dxa"/>
          </w:tcPr>
          <w:p w14:paraId="50760134">
            <w:pPr>
              <w:tabs>
                <w:tab w:val="left" w:pos="0"/>
                <w:tab w:val="left" w:pos="315"/>
              </w:tabs>
              <w:spacing w:line="520" w:lineRule="exact"/>
              <w:rPr>
                <w:sz w:val="24"/>
                <w:szCs w:val="24"/>
              </w:rPr>
            </w:pPr>
            <w:r>
              <w:rPr>
                <w:sz w:val="24"/>
                <w:szCs w:val="24"/>
              </w:rPr>
              <w:t xml:space="preserve">地址： </w:t>
            </w:r>
          </w:p>
        </w:tc>
      </w:tr>
      <w:tr w14:paraId="15CBCB56">
        <w:tblPrEx>
          <w:tblCellMar>
            <w:top w:w="0" w:type="dxa"/>
            <w:left w:w="108" w:type="dxa"/>
            <w:bottom w:w="0" w:type="dxa"/>
            <w:right w:w="108" w:type="dxa"/>
          </w:tblCellMar>
        </w:tblPrEx>
        <w:tc>
          <w:tcPr>
            <w:tcW w:w="4261" w:type="dxa"/>
          </w:tcPr>
          <w:p w14:paraId="56FC85D1">
            <w:pPr>
              <w:tabs>
                <w:tab w:val="left" w:pos="360"/>
              </w:tabs>
              <w:spacing w:line="520" w:lineRule="exact"/>
              <w:rPr>
                <w:sz w:val="24"/>
                <w:szCs w:val="24"/>
              </w:rPr>
            </w:pPr>
            <w:r>
              <w:rPr>
                <w:sz w:val="24"/>
                <w:szCs w:val="24"/>
              </w:rPr>
              <w:t xml:space="preserve">法定代表人： </w:t>
            </w:r>
          </w:p>
        </w:tc>
        <w:tc>
          <w:tcPr>
            <w:tcW w:w="4261" w:type="dxa"/>
          </w:tcPr>
          <w:p w14:paraId="699E84B8">
            <w:pPr>
              <w:tabs>
                <w:tab w:val="left" w:pos="360"/>
              </w:tabs>
              <w:spacing w:line="520" w:lineRule="exact"/>
              <w:rPr>
                <w:sz w:val="24"/>
                <w:szCs w:val="24"/>
              </w:rPr>
            </w:pPr>
            <w:r>
              <w:rPr>
                <w:sz w:val="24"/>
                <w:szCs w:val="24"/>
              </w:rPr>
              <w:t xml:space="preserve">法定代表人： </w:t>
            </w:r>
          </w:p>
        </w:tc>
      </w:tr>
      <w:tr w14:paraId="0BA8DAA2">
        <w:tc>
          <w:tcPr>
            <w:tcW w:w="4261" w:type="dxa"/>
          </w:tcPr>
          <w:p w14:paraId="631D1EF5">
            <w:pPr>
              <w:tabs>
                <w:tab w:val="left" w:pos="360"/>
              </w:tabs>
              <w:spacing w:line="520" w:lineRule="exact"/>
              <w:rPr>
                <w:sz w:val="24"/>
                <w:szCs w:val="24"/>
              </w:rPr>
            </w:pPr>
            <w:r>
              <w:rPr>
                <w:sz w:val="24"/>
                <w:szCs w:val="24"/>
              </w:rPr>
              <w:t xml:space="preserve">委托代理人： </w:t>
            </w:r>
          </w:p>
        </w:tc>
        <w:tc>
          <w:tcPr>
            <w:tcW w:w="4261" w:type="dxa"/>
          </w:tcPr>
          <w:p w14:paraId="683D2A34">
            <w:pPr>
              <w:tabs>
                <w:tab w:val="left" w:pos="360"/>
              </w:tabs>
              <w:spacing w:line="520" w:lineRule="exact"/>
              <w:rPr>
                <w:sz w:val="24"/>
                <w:szCs w:val="24"/>
              </w:rPr>
            </w:pPr>
            <w:r>
              <w:rPr>
                <w:sz w:val="24"/>
                <w:szCs w:val="24"/>
              </w:rPr>
              <w:t xml:space="preserve">委托代理人： </w:t>
            </w:r>
          </w:p>
        </w:tc>
      </w:tr>
      <w:tr w14:paraId="73537E43">
        <w:tblPrEx>
          <w:tblCellMar>
            <w:top w:w="0" w:type="dxa"/>
            <w:left w:w="108" w:type="dxa"/>
            <w:bottom w:w="0" w:type="dxa"/>
            <w:right w:w="108" w:type="dxa"/>
          </w:tblCellMar>
        </w:tblPrEx>
        <w:tc>
          <w:tcPr>
            <w:tcW w:w="4261" w:type="dxa"/>
          </w:tcPr>
          <w:p w14:paraId="3A0E3865">
            <w:pPr>
              <w:tabs>
                <w:tab w:val="left" w:pos="360"/>
              </w:tabs>
              <w:spacing w:line="520" w:lineRule="exact"/>
              <w:rPr>
                <w:sz w:val="24"/>
                <w:szCs w:val="24"/>
              </w:rPr>
            </w:pPr>
            <w:r>
              <w:rPr>
                <w:sz w:val="24"/>
                <w:szCs w:val="24"/>
              </w:rPr>
              <w:t>电话：</w:t>
            </w:r>
          </w:p>
        </w:tc>
        <w:tc>
          <w:tcPr>
            <w:tcW w:w="4261" w:type="dxa"/>
          </w:tcPr>
          <w:p w14:paraId="4F7C10DE">
            <w:pPr>
              <w:tabs>
                <w:tab w:val="left" w:pos="360"/>
              </w:tabs>
              <w:spacing w:line="520" w:lineRule="exact"/>
              <w:rPr>
                <w:sz w:val="24"/>
                <w:szCs w:val="24"/>
              </w:rPr>
            </w:pPr>
            <w:r>
              <w:rPr>
                <w:sz w:val="24"/>
                <w:szCs w:val="24"/>
              </w:rPr>
              <w:t>电话：</w:t>
            </w:r>
          </w:p>
        </w:tc>
      </w:tr>
    </w:tbl>
    <w:p w14:paraId="3FEB5476">
      <w:pPr>
        <w:rPr>
          <w:sz w:val="24"/>
          <w:szCs w:val="24"/>
        </w:rPr>
      </w:pPr>
    </w:p>
    <w:p w14:paraId="30B376F3">
      <w:pPr>
        <w:rPr>
          <w:szCs w:val="24"/>
        </w:rPr>
      </w:pPr>
      <w:r>
        <w:rPr>
          <w:sz w:val="24"/>
          <w:szCs w:val="24"/>
        </w:rPr>
        <w:t>时间：20</w:t>
      </w:r>
      <w:r>
        <w:rPr>
          <w:rFonts w:hint="eastAsia"/>
          <w:sz w:val="24"/>
          <w:szCs w:val="24"/>
        </w:rPr>
        <w:t xml:space="preserve">  </w:t>
      </w:r>
      <w:r>
        <w:rPr>
          <w:sz w:val="24"/>
          <w:szCs w:val="24"/>
        </w:rPr>
        <w:t>年  月  日</w:t>
      </w:r>
    </w:p>
    <w:p w14:paraId="43D8698E">
      <w:pPr>
        <w:jc w:val="center"/>
        <w:rPr>
          <w:b/>
          <w:sz w:val="30"/>
          <w:szCs w:val="30"/>
        </w:rPr>
      </w:pPr>
      <w:r>
        <w:rPr>
          <w:b/>
          <w:sz w:val="30"/>
          <w:szCs w:val="30"/>
        </w:rPr>
        <w:br w:type="page"/>
      </w:r>
      <w:r>
        <w:rPr>
          <w:b/>
          <w:sz w:val="30"/>
          <w:szCs w:val="30"/>
        </w:rPr>
        <w:t>合同特殊条款</w:t>
      </w:r>
    </w:p>
    <w:p w14:paraId="635CCAEF">
      <w:pPr>
        <w:tabs>
          <w:tab w:val="left" w:pos="360"/>
        </w:tabs>
        <w:spacing w:line="520" w:lineRule="exact"/>
        <w:ind w:firstLine="410" w:firstLineChars="171"/>
        <w:rPr>
          <w:color w:val="000000"/>
          <w:sz w:val="24"/>
          <w:szCs w:val="24"/>
        </w:rPr>
      </w:pPr>
    </w:p>
    <w:p w14:paraId="4DD0071F">
      <w:pPr>
        <w:tabs>
          <w:tab w:val="left" w:pos="360"/>
        </w:tabs>
        <w:spacing w:line="520" w:lineRule="exact"/>
        <w:ind w:firstLine="410"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030D1657">
      <w:pPr>
        <w:tabs>
          <w:tab w:val="left" w:pos="360"/>
        </w:tabs>
        <w:spacing w:line="520" w:lineRule="exact"/>
        <w:ind w:firstLine="410"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234E7E72">
      <w:pPr>
        <w:tabs>
          <w:tab w:val="left" w:pos="360"/>
        </w:tabs>
        <w:spacing w:line="520" w:lineRule="exact"/>
        <w:ind w:firstLine="410" w:firstLineChars="171"/>
        <w:rPr>
          <w:sz w:val="24"/>
          <w:szCs w:val="24"/>
        </w:rPr>
      </w:pPr>
    </w:p>
    <w:p w14:paraId="05D16E28">
      <w:pPr>
        <w:widowControl/>
        <w:jc w:val="left"/>
        <w:rPr>
          <w:rFonts w:ascii="宋体" w:hAnsi="宋体"/>
          <w:b/>
          <w:sz w:val="24"/>
          <w:szCs w:val="24"/>
        </w:rPr>
      </w:pPr>
      <w:r>
        <w:rPr>
          <w:rFonts w:ascii="宋体" w:hAnsi="宋体"/>
          <w:b/>
          <w:sz w:val="24"/>
          <w:szCs w:val="24"/>
        </w:rPr>
        <w:br w:type="page"/>
      </w:r>
    </w:p>
    <w:p w14:paraId="7DE0BF11">
      <w:pPr>
        <w:spacing w:line="360" w:lineRule="auto"/>
        <w:jc w:val="center"/>
        <w:rPr>
          <w:rFonts w:ascii="宋体" w:hAnsi="宋体"/>
          <w:b/>
          <w:sz w:val="24"/>
          <w:szCs w:val="24"/>
        </w:rPr>
      </w:pPr>
      <w:r>
        <w:rPr>
          <w:rFonts w:hint="eastAsia" w:ascii="宋体" w:hAnsi="宋体"/>
          <w:b/>
          <w:sz w:val="24"/>
          <w:szCs w:val="24"/>
        </w:rPr>
        <w:t>D.响应文件格式</w:t>
      </w:r>
    </w:p>
    <w:p w14:paraId="4CFE7D9B">
      <w:pPr>
        <w:autoSpaceDN w:val="0"/>
        <w:spacing w:line="360" w:lineRule="auto"/>
        <w:jc w:val="center"/>
        <w:rPr>
          <w:b/>
          <w:bCs/>
          <w:sz w:val="24"/>
        </w:rPr>
      </w:pPr>
    </w:p>
    <w:p w14:paraId="5014E814">
      <w:pPr>
        <w:autoSpaceDE w:val="0"/>
        <w:autoSpaceDN w:val="0"/>
        <w:adjustRightInd w:val="0"/>
        <w:spacing w:line="520" w:lineRule="exact"/>
      </w:pPr>
    </w:p>
    <w:p w14:paraId="028F9EAE">
      <w:pPr>
        <w:autoSpaceDE w:val="0"/>
        <w:autoSpaceDN w:val="0"/>
        <w:adjustRightInd w:val="0"/>
        <w:spacing w:line="520" w:lineRule="exact"/>
        <w:rPr>
          <w:b/>
          <w:kern w:val="0"/>
          <w:sz w:val="24"/>
        </w:rPr>
      </w:pPr>
      <w: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73023D11">
      <w:pPr>
        <w:autoSpaceDE w:val="0"/>
        <w:autoSpaceDN w:val="0"/>
        <w:adjustRightInd w:val="0"/>
        <w:spacing w:line="520" w:lineRule="exact"/>
        <w:rPr>
          <w:b/>
          <w:kern w:val="0"/>
          <w:sz w:val="24"/>
        </w:rPr>
      </w:pPr>
    </w:p>
    <w:p w14:paraId="61C30132">
      <w:pPr>
        <w:autoSpaceDE w:val="0"/>
        <w:autoSpaceDN w:val="0"/>
        <w:adjustRightInd w:val="0"/>
        <w:spacing w:line="520" w:lineRule="exact"/>
        <w:rPr>
          <w:b/>
          <w:kern w:val="0"/>
          <w:sz w:val="24"/>
        </w:rPr>
      </w:pPr>
    </w:p>
    <w:p w14:paraId="58E53F93">
      <w:pPr>
        <w:autoSpaceDE w:val="0"/>
        <w:autoSpaceDN w:val="0"/>
        <w:adjustRightInd w:val="0"/>
        <w:jc w:val="center"/>
        <w:rPr>
          <w:kern w:val="0"/>
          <w:sz w:val="144"/>
          <w:szCs w:val="144"/>
        </w:rPr>
      </w:pPr>
      <w:r>
        <w:rPr>
          <w:rFonts w:hint="eastAsia"/>
          <w:sz w:val="160"/>
          <w:szCs w:val="84"/>
        </w:rPr>
        <w:t>响应文件</w:t>
      </w:r>
    </w:p>
    <w:p w14:paraId="76E7554F">
      <w:pPr>
        <w:autoSpaceDE w:val="0"/>
        <w:autoSpaceDN w:val="0"/>
        <w:adjustRightInd w:val="0"/>
        <w:spacing w:line="520" w:lineRule="exact"/>
        <w:jc w:val="center"/>
        <w:rPr>
          <w:b/>
          <w:kern w:val="0"/>
          <w:sz w:val="24"/>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1B507792">
      <w:pPr>
        <w:autoSpaceDE w:val="0"/>
        <w:autoSpaceDN w:val="0"/>
        <w:adjustRightInd w:val="0"/>
        <w:spacing w:line="520" w:lineRule="exact"/>
        <w:jc w:val="center"/>
        <w:rPr>
          <w:b/>
          <w:kern w:val="0"/>
          <w:sz w:val="24"/>
        </w:rPr>
      </w:pPr>
    </w:p>
    <w:p w14:paraId="3642C1EE">
      <w:pPr>
        <w:spacing w:before="72" w:beforeLines="30" w:after="168" w:afterLines="70" w:line="540" w:lineRule="exact"/>
        <w:ind w:left="630" w:leftChars="300"/>
        <w:rPr>
          <w:b/>
          <w:sz w:val="34"/>
          <w:szCs w:val="34"/>
        </w:rPr>
      </w:pPr>
      <w:r>
        <w:rPr>
          <w:rFonts w:hint="eastAsia"/>
          <w:b/>
          <w:sz w:val="34"/>
          <w:szCs w:val="34"/>
        </w:rPr>
        <w:t>项 目 编 号：</w:t>
      </w:r>
    </w:p>
    <w:p w14:paraId="5F460112">
      <w:pPr>
        <w:spacing w:before="72" w:beforeLines="30" w:after="168" w:afterLines="70" w:line="540" w:lineRule="exact"/>
        <w:ind w:left="2148" w:leftChars="300" w:hanging="1518" w:hangingChars="446"/>
        <w:rPr>
          <w:b/>
          <w:sz w:val="34"/>
          <w:szCs w:val="34"/>
        </w:rPr>
      </w:pPr>
      <w:r>
        <w:rPr>
          <w:rFonts w:hint="eastAsia"/>
          <w:b/>
          <w:sz w:val="34"/>
          <w:szCs w:val="34"/>
        </w:rPr>
        <w:t>项 目 名 称：</w:t>
      </w:r>
    </w:p>
    <w:p w14:paraId="26B79EE6">
      <w:pPr>
        <w:spacing w:before="72" w:beforeLines="30" w:after="168" w:afterLines="70" w:line="540" w:lineRule="exact"/>
        <w:ind w:left="2148" w:leftChars="300" w:hanging="1518" w:hangingChars="446"/>
        <w:rPr>
          <w:b/>
          <w:sz w:val="34"/>
          <w:szCs w:val="34"/>
        </w:rPr>
      </w:pPr>
      <w:r>
        <w:rPr>
          <w:rFonts w:hint="eastAsia"/>
          <w:b/>
          <w:sz w:val="34"/>
          <w:szCs w:val="34"/>
        </w:rPr>
        <w:t>所 投 包 号：</w:t>
      </w:r>
    </w:p>
    <w:p w14:paraId="63084182">
      <w:pPr>
        <w:spacing w:before="72" w:beforeLines="30" w:after="168" w:afterLines="70" w:line="540" w:lineRule="exact"/>
        <w:ind w:left="630" w:leftChars="300"/>
        <w:rPr>
          <w:b/>
          <w:sz w:val="34"/>
          <w:szCs w:val="34"/>
        </w:rPr>
      </w:pPr>
      <w:r>
        <w:rPr>
          <w:rFonts w:hint="eastAsia"/>
          <w:b/>
          <w:sz w:val="34"/>
          <w:szCs w:val="34"/>
        </w:rPr>
        <w:t>供应商名称：</w:t>
      </w:r>
    </w:p>
    <w:p w14:paraId="315B0710">
      <w:pPr>
        <w:spacing w:before="72" w:beforeLines="30" w:after="168" w:afterLines="70" w:line="540" w:lineRule="exact"/>
        <w:ind w:left="630" w:leftChars="300"/>
        <w:rPr>
          <w:b/>
          <w:sz w:val="34"/>
          <w:szCs w:val="34"/>
        </w:rPr>
      </w:pPr>
      <w:r>
        <w:rPr>
          <w:rFonts w:hint="eastAsia"/>
          <w:b/>
          <w:sz w:val="34"/>
          <w:szCs w:val="34"/>
        </w:rPr>
        <w:t>法定代表人姓名：</w:t>
      </w:r>
    </w:p>
    <w:p w14:paraId="47E355C1">
      <w:pPr>
        <w:spacing w:before="72" w:beforeLines="30" w:after="168" w:afterLines="70" w:line="540" w:lineRule="exact"/>
        <w:ind w:left="630" w:leftChars="300"/>
        <w:rPr>
          <w:b/>
          <w:sz w:val="34"/>
          <w:szCs w:val="34"/>
        </w:rPr>
      </w:pPr>
      <w:r>
        <w:rPr>
          <w:rFonts w:hint="eastAsia"/>
          <w:b/>
          <w:sz w:val="34"/>
          <w:szCs w:val="34"/>
        </w:rPr>
        <w:t>谈判代表人姓名：</w:t>
      </w:r>
    </w:p>
    <w:p w14:paraId="725B8F36">
      <w:pPr>
        <w:spacing w:before="72" w:beforeLines="30" w:after="168" w:afterLines="70" w:line="540" w:lineRule="exact"/>
        <w:ind w:left="630" w:leftChars="300"/>
        <w:rPr>
          <w:b/>
          <w:sz w:val="34"/>
          <w:szCs w:val="34"/>
        </w:rPr>
      </w:pPr>
    </w:p>
    <w:p w14:paraId="237154D6">
      <w:pPr>
        <w:spacing w:before="72" w:beforeLines="30" w:after="168" w:afterLines="70" w:line="540" w:lineRule="exact"/>
        <w:ind w:left="630" w:leftChars="300"/>
        <w:rPr>
          <w:b/>
          <w:sz w:val="34"/>
          <w:szCs w:val="34"/>
        </w:rPr>
      </w:pPr>
      <w:r>
        <w:rPr>
          <w:rFonts w:hint="eastAsia"/>
          <w:b/>
          <w:sz w:val="34"/>
          <w:szCs w:val="34"/>
        </w:rPr>
        <w:t>递交日期：   年   月   日</w:t>
      </w:r>
    </w:p>
    <w:p w14:paraId="308804F2">
      <w:pPr>
        <w:spacing w:before="72" w:beforeLines="30" w:after="168" w:afterLines="70" w:line="540" w:lineRule="exact"/>
        <w:ind w:left="630" w:leftChars="300"/>
        <w:rPr>
          <w:b/>
          <w:bCs/>
          <w:sz w:val="24"/>
        </w:rPr>
      </w:pPr>
      <w:r>
        <w:rPr>
          <w:b/>
          <w:bCs/>
          <w:sz w:val="24"/>
        </w:rPr>
        <w:br w:type="page"/>
      </w:r>
    </w:p>
    <w:p w14:paraId="630F754A">
      <w:pPr>
        <w:autoSpaceDN w:val="0"/>
        <w:spacing w:line="360" w:lineRule="auto"/>
        <w:jc w:val="center"/>
        <w:rPr>
          <w:b/>
          <w:bCs/>
          <w:sz w:val="24"/>
        </w:rPr>
      </w:pPr>
      <w:r>
        <w:rPr>
          <w:rFonts w:hint="eastAsia"/>
          <w:b/>
          <w:bCs/>
          <w:sz w:val="24"/>
        </w:rPr>
        <w:t>响应文件总目录</w:t>
      </w:r>
    </w:p>
    <w:p w14:paraId="383B7686">
      <w:pPr>
        <w:autoSpaceDN w:val="0"/>
        <w:spacing w:line="360" w:lineRule="auto"/>
        <w:jc w:val="center"/>
        <w:rPr>
          <w:b/>
          <w:bCs/>
          <w:sz w:val="24"/>
        </w:rPr>
      </w:pPr>
      <w:r>
        <w:rPr>
          <w:rFonts w:hint="eastAsia"/>
          <w:b/>
          <w:bCs/>
          <w:sz w:val="24"/>
        </w:rPr>
        <w:t>（供应商自行编制）</w:t>
      </w:r>
    </w:p>
    <w:p w14:paraId="7E50E65F">
      <w:pPr>
        <w:tabs>
          <w:tab w:val="left" w:pos="360"/>
        </w:tabs>
        <w:spacing w:line="560" w:lineRule="exact"/>
        <w:jc w:val="left"/>
        <w:rPr>
          <w:sz w:val="24"/>
        </w:rPr>
      </w:pPr>
    </w:p>
    <w:p w14:paraId="4D12A9C8">
      <w:pPr>
        <w:tabs>
          <w:tab w:val="left" w:pos="360"/>
        </w:tabs>
        <w:spacing w:line="560" w:lineRule="exact"/>
        <w:jc w:val="left"/>
        <w:rPr>
          <w:sz w:val="24"/>
        </w:rPr>
      </w:pPr>
    </w:p>
    <w:p w14:paraId="4E9D7EB6">
      <w:pPr>
        <w:tabs>
          <w:tab w:val="left" w:pos="360"/>
        </w:tabs>
        <w:spacing w:line="560" w:lineRule="exact"/>
        <w:jc w:val="left"/>
        <w:rPr>
          <w:sz w:val="24"/>
        </w:rPr>
      </w:pPr>
    </w:p>
    <w:p w14:paraId="60D69324">
      <w:pPr>
        <w:widowControl/>
        <w:jc w:val="left"/>
        <w:rPr>
          <w:sz w:val="24"/>
        </w:rPr>
      </w:pPr>
      <w:r>
        <w:rPr>
          <w:sz w:val="24"/>
        </w:rPr>
        <w:br w:type="page"/>
      </w:r>
    </w:p>
    <w:p w14:paraId="2755FC0B">
      <w:pPr>
        <w:tabs>
          <w:tab w:val="left" w:pos="360"/>
        </w:tabs>
        <w:spacing w:line="560" w:lineRule="exact"/>
        <w:jc w:val="left"/>
        <w:rPr>
          <w:b/>
          <w:sz w:val="24"/>
        </w:rPr>
      </w:pPr>
      <w:r>
        <w:rPr>
          <w:rFonts w:hint="eastAsia"/>
          <w:b/>
          <w:sz w:val="24"/>
        </w:rPr>
        <w:t>附件1</w:t>
      </w:r>
    </w:p>
    <w:p w14:paraId="742E0F62">
      <w:pPr>
        <w:tabs>
          <w:tab w:val="left" w:pos="360"/>
        </w:tabs>
        <w:spacing w:line="560" w:lineRule="exact"/>
        <w:jc w:val="left"/>
        <w:rPr>
          <w:b/>
          <w:sz w:val="24"/>
        </w:rPr>
      </w:pPr>
    </w:p>
    <w:p w14:paraId="4531E008">
      <w:pPr>
        <w:autoSpaceDN w:val="0"/>
        <w:spacing w:line="360" w:lineRule="auto"/>
        <w:jc w:val="center"/>
        <w:rPr>
          <w:b/>
          <w:bCs/>
          <w:sz w:val="24"/>
        </w:rPr>
      </w:pPr>
      <w:r>
        <w:rPr>
          <w:rFonts w:hint="eastAsia"/>
          <w:b/>
          <w:bCs/>
          <w:sz w:val="24"/>
        </w:rPr>
        <w:t>响应</w:t>
      </w:r>
      <w:r>
        <w:rPr>
          <w:b/>
          <w:bCs/>
          <w:sz w:val="24"/>
        </w:rPr>
        <w:t>书</w:t>
      </w:r>
    </w:p>
    <w:p w14:paraId="4FDDA8D5">
      <w:pPr>
        <w:spacing w:line="360" w:lineRule="auto"/>
        <w:rPr>
          <w:sz w:val="24"/>
        </w:rPr>
      </w:pPr>
      <w:r>
        <w:rPr>
          <w:sz w:val="24"/>
        </w:rPr>
        <w:t>致：天津市政府采购中心</w:t>
      </w:r>
    </w:p>
    <w:p w14:paraId="09078DE3">
      <w:pPr>
        <w:spacing w:line="360" w:lineRule="auto"/>
        <w:ind w:firstLine="480" w:firstLineChars="200"/>
        <w:rPr>
          <w:sz w:val="24"/>
        </w:rPr>
      </w:pPr>
      <w:r>
        <w:rPr>
          <w:sz w:val="24"/>
        </w:rPr>
        <w:t>根据贵方为天津市</w:t>
      </w:r>
      <w:r>
        <w:rPr>
          <w:rFonts w:hint="eastAsia"/>
          <w:sz w:val="24"/>
          <w:u w:val="single"/>
        </w:rPr>
        <w:t xml:space="preserve">                     </w:t>
      </w:r>
      <w:r>
        <w:rPr>
          <w:sz w:val="24"/>
        </w:rPr>
        <w:t>项目（项目编号：</w:t>
      </w:r>
      <w:r>
        <w:rPr>
          <w:rFonts w:hint="eastAsia"/>
          <w:sz w:val="24"/>
          <w:u w:val="single"/>
        </w:rPr>
        <w:t xml:space="preserve">               </w:t>
      </w:r>
      <w:r>
        <w:rPr>
          <w:sz w:val="24"/>
        </w:rPr>
        <w:t>）的邀请，签字代表</w:t>
      </w:r>
      <w:r>
        <w:rPr>
          <w:rFonts w:hint="eastAsia"/>
          <w:sz w:val="24"/>
          <w:u w:val="single"/>
        </w:rPr>
        <w:t xml:space="preserve">                         </w:t>
      </w:r>
      <w:r>
        <w:rPr>
          <w:sz w:val="24"/>
        </w:rPr>
        <w:t>（姓名/职务）经正式授权并代表</w:t>
      </w:r>
      <w:r>
        <w:rPr>
          <w:rFonts w:hint="eastAsia"/>
          <w:sz w:val="24"/>
        </w:rPr>
        <w:t>我公司</w:t>
      </w:r>
      <w:r>
        <w:rPr>
          <w:rFonts w:hint="eastAsia"/>
          <w:sz w:val="24"/>
          <w:u w:val="single"/>
        </w:rPr>
        <w:t xml:space="preserve">                </w:t>
      </w:r>
      <w:r>
        <w:rPr>
          <w:sz w:val="24"/>
        </w:rPr>
        <w:t>（</w:t>
      </w:r>
      <w:r>
        <w:rPr>
          <w:rFonts w:hint="eastAsia"/>
          <w:sz w:val="24"/>
        </w:rPr>
        <w:t>供应商</w:t>
      </w:r>
      <w:r>
        <w:rPr>
          <w:sz w:val="24"/>
        </w:rPr>
        <w:t>名称、地址）</w:t>
      </w:r>
      <w:r>
        <w:rPr>
          <w:rFonts w:hint="eastAsia"/>
          <w:sz w:val="24"/>
        </w:rPr>
        <w:t>提</w:t>
      </w:r>
      <w:r>
        <w:rPr>
          <w:sz w:val="24"/>
        </w:rPr>
        <w:t>交</w:t>
      </w:r>
      <w:r>
        <w:rPr>
          <w:rFonts w:hint="eastAsia"/>
          <w:sz w:val="24"/>
        </w:rPr>
        <w:t>网上应答及上传加盖电子签章的响应文件</w:t>
      </w:r>
      <w:r>
        <w:rPr>
          <w:sz w:val="24"/>
        </w:rPr>
        <w:t>。</w:t>
      </w:r>
    </w:p>
    <w:p w14:paraId="24F02885">
      <w:pPr>
        <w:spacing w:line="360" w:lineRule="auto"/>
        <w:ind w:firstLine="480" w:firstLineChars="200"/>
        <w:rPr>
          <w:sz w:val="24"/>
        </w:rPr>
      </w:pPr>
      <w:r>
        <w:rPr>
          <w:sz w:val="24"/>
        </w:rPr>
        <w:t>据此函，签字代表宣布同意如下：</w:t>
      </w:r>
    </w:p>
    <w:p w14:paraId="57468BBA">
      <w:pPr>
        <w:spacing w:line="360" w:lineRule="auto"/>
        <w:ind w:firstLine="480" w:firstLineChars="200"/>
        <w:rPr>
          <w:sz w:val="24"/>
        </w:rPr>
      </w:pPr>
      <w:r>
        <w:rPr>
          <w:rFonts w:hint="eastAsia"/>
          <w:sz w:val="24"/>
        </w:rPr>
        <w:t>1. 所附报价表中规定的应提供和交付的总价为：</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4"/>
        <w:gridCol w:w="2910"/>
        <w:gridCol w:w="2454"/>
      </w:tblGrid>
      <w:tr w14:paraId="0CD2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08B8F177">
            <w:pPr>
              <w:spacing w:line="460" w:lineRule="exact"/>
              <w:jc w:val="center"/>
              <w:rPr>
                <w:kern w:val="0"/>
                <w:sz w:val="24"/>
              </w:rPr>
            </w:pPr>
            <w:r>
              <w:rPr>
                <w:rFonts w:hint="eastAsia"/>
                <w:kern w:val="0"/>
                <w:sz w:val="24"/>
              </w:rPr>
              <w:t>分成比例</w:t>
            </w:r>
          </w:p>
        </w:tc>
        <w:tc>
          <w:tcPr>
            <w:tcW w:w="1706" w:type="pct"/>
          </w:tcPr>
          <w:p w14:paraId="40FC4B4A">
            <w:pPr>
              <w:spacing w:line="460" w:lineRule="exact"/>
              <w:jc w:val="center"/>
              <w:rPr>
                <w:kern w:val="0"/>
                <w:sz w:val="24"/>
              </w:rPr>
            </w:pPr>
            <w:r>
              <w:rPr>
                <w:rFonts w:hint="eastAsia"/>
                <w:kern w:val="0"/>
                <w:sz w:val="24"/>
              </w:rPr>
              <w:t>分成比例大写（成）</w:t>
            </w:r>
          </w:p>
        </w:tc>
        <w:tc>
          <w:tcPr>
            <w:tcW w:w="1439" w:type="pct"/>
            <w:vAlign w:val="center"/>
          </w:tcPr>
          <w:p w14:paraId="263448A2">
            <w:pPr>
              <w:spacing w:line="460" w:lineRule="exact"/>
              <w:jc w:val="center"/>
              <w:rPr>
                <w:kern w:val="0"/>
                <w:sz w:val="24"/>
              </w:rPr>
            </w:pPr>
            <w:r>
              <w:rPr>
                <w:rFonts w:hint="eastAsia"/>
                <w:kern w:val="0"/>
                <w:sz w:val="24"/>
              </w:rPr>
              <w:t>服务期</w:t>
            </w:r>
          </w:p>
        </w:tc>
      </w:tr>
      <w:tr w14:paraId="3812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5FFBC2DE">
            <w:pPr>
              <w:spacing w:line="460" w:lineRule="exact"/>
              <w:jc w:val="center"/>
              <w:rPr>
                <w:kern w:val="0"/>
                <w:sz w:val="24"/>
              </w:rPr>
            </w:pPr>
          </w:p>
        </w:tc>
        <w:tc>
          <w:tcPr>
            <w:tcW w:w="1706" w:type="pct"/>
            <w:vAlign w:val="center"/>
          </w:tcPr>
          <w:p w14:paraId="5B1C055D">
            <w:pPr>
              <w:spacing w:line="460" w:lineRule="exact"/>
              <w:jc w:val="center"/>
              <w:rPr>
                <w:kern w:val="0"/>
                <w:sz w:val="24"/>
              </w:rPr>
            </w:pPr>
          </w:p>
        </w:tc>
        <w:tc>
          <w:tcPr>
            <w:tcW w:w="1439" w:type="pct"/>
          </w:tcPr>
          <w:p w14:paraId="744DA127">
            <w:pPr>
              <w:spacing w:line="460" w:lineRule="exact"/>
              <w:jc w:val="center"/>
              <w:rPr>
                <w:kern w:val="0"/>
                <w:sz w:val="24"/>
              </w:rPr>
            </w:pPr>
            <w:r>
              <w:rPr>
                <w:rFonts w:hint="eastAsia"/>
                <w:kern w:val="0"/>
                <w:sz w:val="24"/>
              </w:rPr>
              <w:t>1年</w:t>
            </w:r>
          </w:p>
        </w:tc>
      </w:tr>
    </w:tbl>
    <w:p w14:paraId="7F08147C">
      <w:pPr>
        <w:spacing w:line="360" w:lineRule="auto"/>
        <w:ind w:firstLine="480" w:firstLineChars="200"/>
        <w:rPr>
          <w:sz w:val="24"/>
        </w:rPr>
      </w:pPr>
      <w:r>
        <w:rPr>
          <w:sz w:val="24"/>
        </w:rPr>
        <w:t>2.</w:t>
      </w:r>
      <w:r>
        <w:rPr>
          <w:rFonts w:hint="eastAsia"/>
          <w:sz w:val="24"/>
        </w:rPr>
        <w:t xml:space="preserve"> 我公司</w:t>
      </w:r>
      <w:r>
        <w:rPr>
          <w:sz w:val="24"/>
        </w:rPr>
        <w:t>将按</w:t>
      </w:r>
      <w:r>
        <w:rPr>
          <w:rFonts w:hint="eastAsia"/>
          <w:sz w:val="24"/>
        </w:rPr>
        <w:t>单一来源采购文件</w:t>
      </w:r>
      <w:r>
        <w:rPr>
          <w:sz w:val="24"/>
        </w:rPr>
        <w:t>的规定履行合同责任和义务。</w:t>
      </w:r>
    </w:p>
    <w:p w14:paraId="704EA2DA">
      <w:pPr>
        <w:spacing w:line="360" w:lineRule="auto"/>
        <w:ind w:firstLine="480" w:firstLineChars="200"/>
        <w:rPr>
          <w:sz w:val="24"/>
        </w:rPr>
      </w:pPr>
      <w:r>
        <w:rPr>
          <w:sz w:val="24"/>
        </w:rPr>
        <w:t>3.</w:t>
      </w:r>
      <w:r>
        <w:rPr>
          <w:rFonts w:hint="eastAsia"/>
          <w:sz w:val="24"/>
        </w:rPr>
        <w:t xml:space="preserve"> 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14:paraId="534A516A">
      <w:pPr>
        <w:spacing w:line="360" w:lineRule="auto"/>
        <w:ind w:firstLine="480" w:firstLineChars="200"/>
        <w:rPr>
          <w:sz w:val="24"/>
        </w:rPr>
      </w:pPr>
      <w:r>
        <w:rPr>
          <w:sz w:val="24"/>
        </w:rPr>
        <w:t>4.</w:t>
      </w:r>
      <w:r>
        <w:rPr>
          <w:rFonts w:hint="eastAsia"/>
          <w:sz w:val="24"/>
        </w:rPr>
        <w:t xml:space="preserve"> 我公司的谈判有效期为响应文件开启之日起60天。</w:t>
      </w:r>
    </w:p>
    <w:p w14:paraId="5A8F82DF">
      <w:pPr>
        <w:spacing w:line="360" w:lineRule="auto"/>
        <w:ind w:firstLine="480" w:firstLineChars="200"/>
        <w:rPr>
          <w:sz w:val="24"/>
        </w:rPr>
      </w:pPr>
      <w:r>
        <w:rPr>
          <w:rFonts w:hint="eastAsia"/>
          <w:sz w:val="24"/>
        </w:rPr>
        <w:t>5</w:t>
      </w:r>
      <w:r>
        <w:rPr>
          <w:sz w:val="24"/>
        </w:rPr>
        <w:t>.</w:t>
      </w:r>
      <w:r>
        <w:rPr>
          <w:rFonts w:hint="eastAsia"/>
          <w:sz w:val="24"/>
        </w:rPr>
        <w:t xml:space="preserve"> 我公司同意按照采购人、采购代理机构要求</w:t>
      </w:r>
      <w:r>
        <w:rPr>
          <w:sz w:val="24"/>
        </w:rPr>
        <w:t>提供的与有关的一切数据或资料</w:t>
      </w:r>
      <w:r>
        <w:rPr>
          <w:rFonts w:hint="eastAsia"/>
          <w:sz w:val="24"/>
        </w:rPr>
        <w:t>，并声明响应文件及所提供的一切资料均真实有效。由于我公司提供资料不实而造成的责任和后果由我公司自行承担。</w:t>
      </w:r>
    </w:p>
    <w:p w14:paraId="06DDF955">
      <w:pPr>
        <w:spacing w:line="360" w:lineRule="auto"/>
        <w:ind w:firstLine="480" w:firstLineChars="200"/>
        <w:rPr>
          <w:sz w:val="24"/>
        </w:rPr>
      </w:pPr>
      <w:r>
        <w:rPr>
          <w:rFonts w:hint="eastAsia"/>
          <w:sz w:val="24"/>
        </w:rPr>
        <w:t>6. 我公司保证所投产品来自合法的供货渠道，若成交，则有义务向采购人提供其需要的有效书面证明材料。如果提供非法渠道的商品，视为欺诈，并承担相关责任。</w:t>
      </w:r>
    </w:p>
    <w:p w14:paraId="42BDF680">
      <w:pPr>
        <w:spacing w:line="360" w:lineRule="auto"/>
        <w:ind w:firstLine="480" w:firstLineChars="200"/>
        <w:rPr>
          <w:sz w:val="24"/>
        </w:rPr>
      </w:pPr>
      <w:r>
        <w:rPr>
          <w:rFonts w:hint="eastAsia"/>
          <w:sz w:val="24"/>
        </w:rPr>
        <w:t>7. 我公司已熟知贵中心关于本项目电子招的要求和规定。我公司完全响应本次招通过网上进行的方式，我方承诺数据以应答截止时间贵中心网络服务器数据库的记录为准，一切因网络通信或我方操作失误造成的应答数据错误或缺失均与贵中心无关，我方愿承担因此出现的任何风险和责任。</w:t>
      </w:r>
    </w:p>
    <w:p w14:paraId="40F83BCB">
      <w:pPr>
        <w:spacing w:line="360" w:lineRule="auto"/>
        <w:ind w:firstLine="480" w:firstLineChars="200"/>
        <w:rPr>
          <w:sz w:val="24"/>
        </w:rPr>
      </w:pPr>
      <w:r>
        <w:rPr>
          <w:rFonts w:hint="eastAsia"/>
          <w:sz w:val="24"/>
        </w:rPr>
        <w:t>8. 我公司承诺完全符合《中华人民共和国政府采购法》、《中华人民共和国政府采购法实施条例》等法律法规规定，并随时接受采购人、采购代理机构的检查验证。</w:t>
      </w:r>
      <w:r>
        <w:rPr>
          <w:sz w:val="24"/>
        </w:rPr>
        <w:t>在整个</w:t>
      </w:r>
      <w:r>
        <w:rPr>
          <w:rFonts w:hint="eastAsia"/>
          <w:sz w:val="24"/>
        </w:rPr>
        <w:t>谈判</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单一来源采购文件</w:t>
      </w:r>
      <w:r>
        <w:rPr>
          <w:rFonts w:hint="eastAsia"/>
          <w:sz w:val="24"/>
        </w:rPr>
        <w:t>的</w:t>
      </w:r>
      <w:r>
        <w:rPr>
          <w:sz w:val="24"/>
        </w:rPr>
        <w:t>规定给予</w:t>
      </w:r>
      <w:r>
        <w:rPr>
          <w:rFonts w:hint="eastAsia"/>
          <w:sz w:val="24"/>
        </w:rPr>
        <w:t>处罚</w:t>
      </w:r>
      <w:r>
        <w:rPr>
          <w:sz w:val="24"/>
        </w:rPr>
        <w:t>。</w:t>
      </w:r>
    </w:p>
    <w:p w14:paraId="5851DE4D">
      <w:pPr>
        <w:spacing w:line="360" w:lineRule="auto"/>
        <w:ind w:firstLine="480"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截止日前3年在经营活动中没有重大违法记录。</w:t>
      </w:r>
    </w:p>
    <w:p w14:paraId="6242E22C">
      <w:pPr>
        <w:spacing w:line="360" w:lineRule="auto"/>
        <w:ind w:firstLine="480" w:firstLineChars="200"/>
        <w:rPr>
          <w:sz w:val="24"/>
        </w:rPr>
      </w:pPr>
      <w:r>
        <w:rPr>
          <w:rFonts w:hint="eastAsia"/>
          <w:sz w:val="24"/>
        </w:rPr>
        <w:t>10</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14:paraId="5954BC32">
      <w:pPr>
        <w:spacing w:line="360" w:lineRule="auto"/>
        <w:ind w:firstLine="480" w:firstLineChars="200"/>
        <w:rPr>
          <w:sz w:val="24"/>
        </w:rPr>
      </w:pPr>
      <w:r>
        <w:rPr>
          <w:rFonts w:hint="eastAsia"/>
          <w:sz w:val="24"/>
        </w:rPr>
        <w:t>11. 如违反上述承诺，我公司无效且接受相关部门依法作出的处罚，并承担通过相关媒体予以公布的任何风险和责任。</w:t>
      </w:r>
    </w:p>
    <w:p w14:paraId="1184402D">
      <w:pPr>
        <w:spacing w:line="360" w:lineRule="auto"/>
        <w:ind w:firstLine="480"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214450F9">
      <w:pPr>
        <w:spacing w:line="360" w:lineRule="auto"/>
        <w:ind w:firstLine="480" w:firstLineChars="200"/>
        <w:rPr>
          <w:sz w:val="24"/>
        </w:rPr>
      </w:pPr>
      <w:r>
        <w:rPr>
          <w:rFonts w:hint="eastAsia"/>
          <w:sz w:val="24"/>
        </w:rPr>
        <w:t>纳税人识别号：</w:t>
      </w:r>
    </w:p>
    <w:p w14:paraId="60C14050">
      <w:pPr>
        <w:spacing w:line="360" w:lineRule="auto"/>
        <w:ind w:firstLine="480" w:firstLineChars="200"/>
        <w:rPr>
          <w:sz w:val="24"/>
        </w:rPr>
      </w:pPr>
      <w:r>
        <w:rPr>
          <w:rFonts w:hint="eastAsia"/>
          <w:sz w:val="24"/>
        </w:rPr>
        <w:t>地址、电话：</w:t>
      </w:r>
    </w:p>
    <w:p w14:paraId="69A2AE0B">
      <w:pPr>
        <w:spacing w:line="360" w:lineRule="auto"/>
        <w:ind w:firstLine="480" w:firstLineChars="200"/>
        <w:rPr>
          <w:sz w:val="24"/>
        </w:rPr>
      </w:pPr>
      <w:r>
        <w:rPr>
          <w:rFonts w:hint="eastAsia"/>
          <w:sz w:val="24"/>
        </w:rPr>
        <w:t>开户行及账号：</w:t>
      </w:r>
    </w:p>
    <w:p w14:paraId="349D51CC">
      <w:pPr>
        <w:spacing w:line="360" w:lineRule="auto"/>
        <w:ind w:firstLine="480" w:firstLineChars="200"/>
        <w:rPr>
          <w:sz w:val="24"/>
        </w:rPr>
      </w:pPr>
      <w:r>
        <w:rPr>
          <w:rFonts w:hint="eastAsia"/>
          <w:sz w:val="24"/>
        </w:rPr>
        <w:t>开具发票类型：□增值税专用发票         □增值税普通发票</w:t>
      </w:r>
    </w:p>
    <w:p w14:paraId="355D96DF">
      <w:pPr>
        <w:spacing w:line="360" w:lineRule="auto"/>
        <w:ind w:firstLine="480"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24823636">
      <w:pPr>
        <w:spacing w:line="360" w:lineRule="auto"/>
        <w:ind w:firstLine="480" w:firstLineChars="200"/>
        <w:rPr>
          <w:b/>
          <w:sz w:val="24"/>
        </w:rPr>
      </w:pPr>
      <w:r>
        <w:rPr>
          <w:rFonts w:hint="eastAsia"/>
          <w:b/>
          <w:sz w:val="24"/>
        </w:rPr>
        <w:t>□</w:t>
      </w:r>
      <w:r>
        <w:rPr>
          <w:b/>
          <w:sz w:val="24"/>
        </w:rPr>
        <w:t>上门自取</w:t>
      </w:r>
    </w:p>
    <w:p w14:paraId="7A08BE71">
      <w:pPr>
        <w:spacing w:line="360" w:lineRule="auto"/>
        <w:ind w:firstLine="480" w:firstLineChars="200"/>
        <w:rPr>
          <w:sz w:val="24"/>
        </w:rPr>
      </w:pPr>
    </w:p>
    <w:p w14:paraId="6FE825DF">
      <w:pPr>
        <w:spacing w:line="360" w:lineRule="auto"/>
        <w:ind w:firstLine="480" w:firstLineChars="200"/>
        <w:rPr>
          <w:b/>
          <w:sz w:val="24"/>
        </w:rPr>
      </w:pPr>
      <w:r>
        <w:rPr>
          <w:rFonts w:hint="eastAsia"/>
          <w:b/>
          <w:sz w:val="24"/>
        </w:rPr>
        <w:t>□</w:t>
      </w:r>
      <w:r>
        <w:rPr>
          <w:b/>
          <w:sz w:val="24"/>
        </w:rPr>
        <w:t>到付邮寄</w:t>
      </w:r>
    </w:p>
    <w:p w14:paraId="4F5D8F36">
      <w:pPr>
        <w:spacing w:line="360" w:lineRule="auto"/>
        <w:ind w:firstLine="480" w:firstLineChars="200"/>
        <w:rPr>
          <w:sz w:val="24"/>
        </w:rPr>
      </w:pPr>
      <w:r>
        <w:rPr>
          <w:sz w:val="24"/>
        </w:rPr>
        <w:t>邮寄地址</w:t>
      </w:r>
      <w:r>
        <w:rPr>
          <w:rFonts w:hint="eastAsia"/>
          <w:sz w:val="24"/>
        </w:rPr>
        <w:t>、邮编</w:t>
      </w:r>
      <w:r>
        <w:rPr>
          <w:sz w:val="24"/>
        </w:rPr>
        <w:t>：</w:t>
      </w:r>
    </w:p>
    <w:p w14:paraId="148260D5">
      <w:pPr>
        <w:spacing w:line="360" w:lineRule="auto"/>
        <w:ind w:firstLine="480" w:firstLineChars="200"/>
        <w:rPr>
          <w:sz w:val="24"/>
        </w:rPr>
      </w:pPr>
      <w:r>
        <w:rPr>
          <w:sz w:val="24"/>
        </w:rPr>
        <w:t>邮寄联系人、手机号码：</w:t>
      </w:r>
    </w:p>
    <w:p w14:paraId="6FCAC38A">
      <w:pPr>
        <w:spacing w:line="360" w:lineRule="auto"/>
        <w:ind w:firstLine="480" w:firstLineChars="200"/>
        <w:rPr>
          <w:sz w:val="24"/>
        </w:rPr>
      </w:pPr>
    </w:p>
    <w:p w14:paraId="2A37DD0A">
      <w:pPr>
        <w:spacing w:line="360" w:lineRule="auto"/>
        <w:ind w:firstLine="480" w:firstLineChars="200"/>
        <w:rPr>
          <w:sz w:val="24"/>
        </w:rPr>
      </w:pPr>
    </w:p>
    <w:p w14:paraId="290FE680">
      <w:pPr>
        <w:spacing w:line="360" w:lineRule="auto"/>
        <w:ind w:firstLine="4320" w:firstLineChars="1800"/>
        <w:rPr>
          <w:sz w:val="24"/>
        </w:rPr>
      </w:pPr>
      <w:r>
        <w:rPr>
          <w:rFonts w:hint="eastAsia"/>
          <w:sz w:val="24"/>
        </w:rPr>
        <w:t>供应商单位</w:t>
      </w:r>
      <w:r>
        <w:rPr>
          <w:sz w:val="24"/>
        </w:rPr>
        <w:t>名称：</w:t>
      </w:r>
    </w:p>
    <w:p w14:paraId="4A5C1414">
      <w:pPr>
        <w:spacing w:line="360" w:lineRule="auto"/>
        <w:ind w:firstLine="4320" w:firstLineChars="1800"/>
        <w:rPr>
          <w:sz w:val="24"/>
        </w:rPr>
      </w:pPr>
    </w:p>
    <w:p w14:paraId="1E1CEA02">
      <w:pPr>
        <w:spacing w:line="360" w:lineRule="auto"/>
        <w:ind w:firstLine="4320" w:firstLineChars="1800"/>
        <w:rPr>
          <w:sz w:val="24"/>
        </w:rPr>
      </w:pPr>
      <w:r>
        <w:rPr>
          <w:sz w:val="24"/>
        </w:rPr>
        <w:t>日期：</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14:paraId="19423FCA">
      <w:pPr>
        <w:widowControl/>
        <w:jc w:val="left"/>
        <w:rPr>
          <w:rFonts w:ascii="宋体" w:hAnsi="宋体"/>
          <w:sz w:val="24"/>
          <w:szCs w:val="24"/>
        </w:rPr>
      </w:pPr>
      <w:r>
        <w:rPr>
          <w:rFonts w:ascii="宋体" w:hAnsi="宋体"/>
          <w:sz w:val="24"/>
          <w:szCs w:val="24"/>
        </w:rPr>
        <w:br w:type="page"/>
      </w:r>
    </w:p>
    <w:p w14:paraId="0BF69770">
      <w:pPr>
        <w:spacing w:line="460" w:lineRule="exact"/>
        <w:rPr>
          <w:b/>
          <w:sz w:val="24"/>
        </w:rPr>
      </w:pPr>
      <w:r>
        <w:rPr>
          <w:b/>
          <w:sz w:val="24"/>
        </w:rPr>
        <w:t>附件2</w:t>
      </w:r>
    </w:p>
    <w:p w14:paraId="12BE93C0">
      <w:pPr>
        <w:ind w:right="84"/>
        <w:jc w:val="center"/>
        <w:rPr>
          <w:b/>
          <w:sz w:val="24"/>
        </w:rPr>
      </w:pPr>
    </w:p>
    <w:p w14:paraId="54E89986">
      <w:pPr>
        <w:ind w:right="84"/>
        <w:jc w:val="center"/>
        <w:rPr>
          <w:b/>
          <w:sz w:val="24"/>
        </w:rPr>
      </w:pPr>
      <w:r>
        <w:rPr>
          <w:rFonts w:hint="eastAsia"/>
          <w:b/>
          <w:sz w:val="24"/>
        </w:rPr>
        <w:t>供应商资格声明函</w:t>
      </w:r>
    </w:p>
    <w:p w14:paraId="369AF55E">
      <w:pPr>
        <w:spacing w:line="360" w:lineRule="auto"/>
        <w:ind w:firstLine="420"/>
        <w:jc w:val="center"/>
        <w:rPr>
          <w:b/>
          <w:sz w:val="24"/>
        </w:rPr>
      </w:pPr>
    </w:p>
    <w:p w14:paraId="33FD78A5">
      <w:pPr>
        <w:spacing w:line="360" w:lineRule="auto"/>
        <w:rPr>
          <w:sz w:val="24"/>
        </w:rPr>
      </w:pPr>
      <w:r>
        <w:rPr>
          <w:rFonts w:hint="eastAsia"/>
          <w:sz w:val="24"/>
        </w:rPr>
        <w:t>天津市政府采购中心：</w:t>
      </w:r>
    </w:p>
    <w:p w14:paraId="6920F4EA">
      <w:pPr>
        <w:spacing w:line="360" w:lineRule="auto"/>
        <w:ind w:firstLine="480" w:firstLineChars="200"/>
        <w:rPr>
          <w:sz w:val="24"/>
        </w:rPr>
      </w:pPr>
      <w:r>
        <w:rPr>
          <w:rFonts w:hint="eastAsia"/>
          <w:sz w:val="24"/>
        </w:rPr>
        <w:t>我单位自愿参与本项目的政府采购活动，郑重承诺如下：</w:t>
      </w:r>
    </w:p>
    <w:p w14:paraId="60321A79">
      <w:pPr>
        <w:spacing w:line="360" w:lineRule="auto"/>
        <w:ind w:firstLine="480" w:firstLineChars="200"/>
        <w:rPr>
          <w:sz w:val="24"/>
        </w:rPr>
      </w:pPr>
      <w:r>
        <w:rPr>
          <w:rFonts w:hint="eastAsia"/>
          <w:sz w:val="24"/>
        </w:rPr>
        <w:t>（一）我单位具有良好的商业信誉和健全的财务会计制度；</w:t>
      </w:r>
    </w:p>
    <w:p w14:paraId="18AA0C8B">
      <w:pPr>
        <w:spacing w:line="360" w:lineRule="auto"/>
        <w:ind w:firstLine="480" w:firstLineChars="200"/>
        <w:rPr>
          <w:sz w:val="24"/>
        </w:rPr>
      </w:pPr>
      <w:r>
        <w:rPr>
          <w:rFonts w:hint="eastAsia"/>
          <w:sz w:val="24"/>
        </w:rPr>
        <w:t>（二）我单位依法缴纳税收和社会保障资金；</w:t>
      </w:r>
    </w:p>
    <w:p w14:paraId="19EF37E5">
      <w:pPr>
        <w:spacing w:line="360" w:lineRule="auto"/>
        <w:ind w:firstLine="480" w:firstLineChars="200"/>
        <w:rPr>
          <w:sz w:val="24"/>
        </w:rPr>
      </w:pPr>
      <w:r>
        <w:rPr>
          <w:rFonts w:hint="eastAsia"/>
          <w:sz w:val="24"/>
        </w:rPr>
        <w:t>（三）我单位具备履行合同所必需的设备和专业技术能力；</w:t>
      </w:r>
    </w:p>
    <w:p w14:paraId="1174B05F">
      <w:pPr>
        <w:spacing w:line="360" w:lineRule="auto"/>
        <w:ind w:firstLine="480" w:firstLineChars="200"/>
        <w:rPr>
          <w:sz w:val="24"/>
        </w:rPr>
      </w:pPr>
      <w:r>
        <w:rPr>
          <w:rFonts w:hint="eastAsia"/>
          <w:sz w:val="24"/>
        </w:rPr>
        <w:t>（四）参加政府采购活动前3年我单位在经营活动中没有重大违法记录；</w:t>
      </w:r>
    </w:p>
    <w:p w14:paraId="154BF467">
      <w:pPr>
        <w:spacing w:line="360" w:lineRule="auto"/>
        <w:ind w:firstLine="480" w:firstLineChars="200"/>
        <w:rPr>
          <w:sz w:val="24"/>
        </w:rPr>
      </w:pPr>
    </w:p>
    <w:p w14:paraId="57F97446">
      <w:pPr>
        <w:spacing w:line="360" w:lineRule="auto"/>
        <w:ind w:firstLine="480" w:firstLineChars="200"/>
        <w:rPr>
          <w:sz w:val="24"/>
        </w:rPr>
      </w:pPr>
    </w:p>
    <w:p w14:paraId="21CA1827">
      <w:pPr>
        <w:spacing w:line="360" w:lineRule="auto"/>
        <w:ind w:firstLine="480" w:firstLineChars="200"/>
        <w:rPr>
          <w:sz w:val="24"/>
        </w:rPr>
      </w:pPr>
      <w:r>
        <w:rPr>
          <w:rFonts w:hint="eastAsia"/>
          <w:sz w:val="24"/>
        </w:rPr>
        <w:t>上述声明真实有效，否则我单位承担全部责任和不利后果。</w:t>
      </w:r>
    </w:p>
    <w:p w14:paraId="1E10C4F2">
      <w:pPr>
        <w:spacing w:line="360" w:lineRule="auto"/>
        <w:ind w:firstLine="480" w:firstLineChars="200"/>
        <w:rPr>
          <w:sz w:val="24"/>
        </w:rPr>
      </w:pPr>
    </w:p>
    <w:p w14:paraId="798F42E6">
      <w:pPr>
        <w:spacing w:line="360" w:lineRule="auto"/>
        <w:ind w:firstLine="240" w:firstLineChars="100"/>
        <w:rPr>
          <w:sz w:val="24"/>
        </w:rPr>
      </w:pPr>
      <w:r>
        <w:rPr>
          <w:sz w:val="24"/>
        </w:rPr>
        <w:t>投标人名称：</w:t>
      </w:r>
    </w:p>
    <w:p w14:paraId="6440B917">
      <w:pPr>
        <w:spacing w:line="360" w:lineRule="auto"/>
        <w:ind w:firstLine="240" w:firstLineChars="100"/>
        <w:rPr>
          <w:sz w:val="24"/>
        </w:rPr>
      </w:pPr>
    </w:p>
    <w:p w14:paraId="10C8FB05">
      <w:pPr>
        <w:spacing w:line="360" w:lineRule="auto"/>
        <w:ind w:firstLine="240" w:firstLineChars="100"/>
        <w:rPr>
          <w:sz w:val="24"/>
        </w:rPr>
      </w:pPr>
      <w:r>
        <w:rPr>
          <w:sz w:val="24"/>
        </w:rPr>
        <w:t xml:space="preserve">日期：  </w:t>
      </w:r>
    </w:p>
    <w:p w14:paraId="6A4B2E8E">
      <w:pPr>
        <w:spacing w:line="460" w:lineRule="exact"/>
        <w:rPr>
          <w:b/>
          <w:sz w:val="24"/>
        </w:rPr>
      </w:pPr>
    </w:p>
    <w:p w14:paraId="03EC1A3B">
      <w:pPr>
        <w:spacing w:line="460" w:lineRule="exact"/>
        <w:rPr>
          <w:b/>
          <w:sz w:val="24"/>
        </w:rPr>
      </w:pPr>
    </w:p>
    <w:p w14:paraId="2F74BEB1">
      <w:pPr>
        <w:spacing w:line="460" w:lineRule="exact"/>
        <w:rPr>
          <w:b/>
          <w:sz w:val="24"/>
        </w:rPr>
      </w:pPr>
    </w:p>
    <w:p w14:paraId="6EC712A8">
      <w:pPr>
        <w:spacing w:line="460" w:lineRule="exact"/>
        <w:rPr>
          <w:b/>
          <w:sz w:val="24"/>
        </w:rPr>
      </w:pPr>
    </w:p>
    <w:p w14:paraId="1BE088F1">
      <w:pPr>
        <w:spacing w:line="460" w:lineRule="exact"/>
        <w:rPr>
          <w:b/>
          <w:sz w:val="24"/>
        </w:rPr>
      </w:pPr>
    </w:p>
    <w:p w14:paraId="2F11243C">
      <w:pPr>
        <w:spacing w:line="460" w:lineRule="exact"/>
        <w:rPr>
          <w:b/>
          <w:sz w:val="24"/>
        </w:rPr>
      </w:pPr>
    </w:p>
    <w:p w14:paraId="6F948193">
      <w:pPr>
        <w:widowControl/>
        <w:jc w:val="left"/>
        <w:rPr>
          <w:b/>
          <w:bCs/>
          <w:sz w:val="24"/>
        </w:rPr>
      </w:pPr>
      <w:r>
        <w:rPr>
          <w:b/>
          <w:bCs/>
          <w:sz w:val="24"/>
        </w:rPr>
        <w:br w:type="page"/>
      </w:r>
    </w:p>
    <w:p w14:paraId="7BFA36D1">
      <w:pPr>
        <w:spacing w:line="460" w:lineRule="exact"/>
        <w:rPr>
          <w:b/>
          <w:sz w:val="24"/>
        </w:rPr>
      </w:pPr>
      <w:r>
        <w:rPr>
          <w:rFonts w:hint="eastAsia"/>
          <w:b/>
          <w:bCs/>
          <w:sz w:val="24"/>
        </w:rPr>
        <w:t>附件2-1：单一来源采购文件第一部分供应商资格要求的证件</w:t>
      </w:r>
    </w:p>
    <w:p w14:paraId="7A0479B5">
      <w:pPr>
        <w:spacing w:line="620" w:lineRule="exact"/>
        <w:rPr>
          <w:sz w:val="24"/>
        </w:rPr>
      </w:pPr>
    </w:p>
    <w:p w14:paraId="6F83B2B5">
      <w:pPr>
        <w:widowControl/>
        <w:jc w:val="left"/>
        <w:rPr>
          <w:rFonts w:ascii="宋体" w:hAnsi="宋体"/>
          <w:sz w:val="24"/>
          <w:szCs w:val="24"/>
        </w:rPr>
      </w:pPr>
      <w:r>
        <w:rPr>
          <w:rFonts w:ascii="宋体" w:hAnsi="宋体"/>
          <w:sz w:val="24"/>
          <w:szCs w:val="24"/>
        </w:rPr>
        <w:br w:type="page"/>
      </w:r>
    </w:p>
    <w:p w14:paraId="7F1A0A16">
      <w:pPr>
        <w:tabs>
          <w:tab w:val="left" w:pos="360"/>
        </w:tabs>
        <w:spacing w:line="560" w:lineRule="exact"/>
        <w:jc w:val="left"/>
        <w:rPr>
          <w:b/>
          <w:sz w:val="24"/>
        </w:rPr>
      </w:pPr>
      <w:r>
        <w:rPr>
          <w:b/>
          <w:sz w:val="24"/>
        </w:rPr>
        <w:t>附件</w:t>
      </w:r>
      <w:r>
        <w:rPr>
          <w:rFonts w:hint="eastAsia"/>
          <w:b/>
          <w:sz w:val="24"/>
        </w:rPr>
        <w:t>3</w:t>
      </w:r>
    </w:p>
    <w:p w14:paraId="4CFB2B27">
      <w:pPr>
        <w:autoSpaceDN w:val="0"/>
        <w:spacing w:line="360" w:lineRule="auto"/>
        <w:jc w:val="center"/>
        <w:rPr>
          <w:b/>
          <w:bCs/>
          <w:sz w:val="24"/>
        </w:rPr>
      </w:pPr>
      <w:r>
        <w:rPr>
          <w:rFonts w:hint="eastAsia"/>
          <w:b/>
          <w:bCs/>
          <w:sz w:val="24"/>
        </w:rPr>
        <w:t>谈判</w:t>
      </w:r>
      <w:r>
        <w:rPr>
          <w:b/>
          <w:bCs/>
          <w:sz w:val="24"/>
        </w:rPr>
        <w:t>代表人授权书</w:t>
      </w:r>
    </w:p>
    <w:p w14:paraId="154BC5CC">
      <w:pPr>
        <w:spacing w:line="360" w:lineRule="auto"/>
        <w:rPr>
          <w:sz w:val="24"/>
          <w:szCs w:val="21"/>
        </w:rPr>
      </w:pPr>
    </w:p>
    <w:p w14:paraId="643765C8">
      <w:pPr>
        <w:spacing w:line="360" w:lineRule="auto"/>
        <w:rPr>
          <w:sz w:val="24"/>
          <w:szCs w:val="21"/>
        </w:rPr>
      </w:pPr>
      <w:r>
        <w:rPr>
          <w:sz w:val="24"/>
          <w:szCs w:val="21"/>
        </w:rPr>
        <w:t>致：天津市政府采购中心</w:t>
      </w:r>
    </w:p>
    <w:p w14:paraId="189B9EF5">
      <w:pPr>
        <w:spacing w:line="360" w:lineRule="auto"/>
        <w:ind w:firstLine="480" w:firstLineChars="20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）作为谈判代表人以我方的名义参加贵中心组织的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）的政府采购活动，并代表我方全权办理针对上述项目的响应文件递交、谈判、响应文件澄清、签约等一切具体事务和签署相关文件。</w:t>
      </w:r>
    </w:p>
    <w:p w14:paraId="69A0B137">
      <w:pPr>
        <w:spacing w:line="360" w:lineRule="auto"/>
        <w:ind w:firstLine="480" w:firstLineChars="200"/>
        <w:rPr>
          <w:sz w:val="24"/>
          <w:szCs w:val="21"/>
        </w:rPr>
      </w:pPr>
      <w:r>
        <w:rPr>
          <w:sz w:val="24"/>
          <w:szCs w:val="21"/>
        </w:rPr>
        <w:t>我方对</w:t>
      </w:r>
      <w:r>
        <w:rPr>
          <w:rFonts w:hint="eastAsia"/>
          <w:sz w:val="24"/>
          <w:szCs w:val="21"/>
        </w:rPr>
        <w:t>谈判代表人</w:t>
      </w:r>
      <w:r>
        <w:rPr>
          <w:sz w:val="24"/>
          <w:szCs w:val="21"/>
        </w:rPr>
        <w:t>的签名事项负全部责任。</w:t>
      </w:r>
    </w:p>
    <w:p w14:paraId="6BDEC7AD">
      <w:pPr>
        <w:spacing w:line="360" w:lineRule="auto"/>
        <w:ind w:firstLine="480" w:firstLineChars="200"/>
        <w:rPr>
          <w:sz w:val="24"/>
          <w:szCs w:val="21"/>
        </w:rPr>
      </w:pPr>
      <w:r>
        <w:rPr>
          <w:sz w:val="24"/>
          <w:szCs w:val="21"/>
        </w:rPr>
        <w:t>本授权书至</w:t>
      </w:r>
      <w:r>
        <w:rPr>
          <w:rFonts w:hint="eastAsia"/>
          <w:sz w:val="24"/>
          <w:szCs w:val="21"/>
        </w:rPr>
        <w:t>谈判</w:t>
      </w:r>
      <w:r>
        <w:rPr>
          <w:sz w:val="24"/>
          <w:szCs w:val="21"/>
        </w:rPr>
        <w:t>有效期结束前始终有效。</w:t>
      </w:r>
    </w:p>
    <w:p w14:paraId="4A718525">
      <w:pPr>
        <w:spacing w:line="360" w:lineRule="auto"/>
        <w:ind w:firstLine="480" w:firstLineChars="200"/>
        <w:rPr>
          <w:sz w:val="24"/>
          <w:szCs w:val="21"/>
        </w:rPr>
      </w:pPr>
      <w:r>
        <w:rPr>
          <w:rFonts w:hint="eastAsia"/>
          <w:sz w:val="24"/>
          <w:szCs w:val="21"/>
        </w:rPr>
        <w:t>谈判</w:t>
      </w:r>
      <w:r>
        <w:rPr>
          <w:sz w:val="24"/>
          <w:szCs w:val="21"/>
        </w:rPr>
        <w:t>代表人无转委托权，特此委托。</w:t>
      </w:r>
    </w:p>
    <w:p w14:paraId="7B69E650">
      <w:pPr>
        <w:spacing w:line="360" w:lineRule="auto"/>
        <w:ind w:firstLine="480" w:firstLineChars="200"/>
        <w:rPr>
          <w:sz w:val="24"/>
        </w:rPr>
      </w:pPr>
    </w:p>
    <w:p w14:paraId="1C9E3F3B">
      <w:pPr>
        <w:spacing w:line="360" w:lineRule="auto"/>
        <w:ind w:firstLine="480" w:firstLineChars="200"/>
        <w:rPr>
          <w:sz w:val="24"/>
        </w:rPr>
      </w:pPr>
    </w:p>
    <w:p w14:paraId="522AB4E7">
      <w:pPr>
        <w:spacing w:line="480" w:lineRule="auto"/>
        <w:ind w:right="480" w:firstLine="4080" w:firstLineChars="1700"/>
        <w:rPr>
          <w:sz w:val="24"/>
        </w:rPr>
      </w:pPr>
    </w:p>
    <w:p w14:paraId="2BF3B6B8">
      <w:pPr>
        <w:spacing w:line="480" w:lineRule="auto"/>
        <w:ind w:right="480" w:firstLine="5280" w:firstLineChars="2200"/>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71CF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51259F55">
            <w:pPr>
              <w:spacing w:line="360" w:lineRule="auto"/>
              <w:jc w:val="left"/>
              <w:rPr>
                <w:sz w:val="24"/>
              </w:rPr>
            </w:pPr>
            <w:r>
              <w:rPr>
                <w:rFonts w:hint="eastAsia"/>
                <w:sz w:val="24"/>
              </w:rPr>
              <w:t>谈判代表人身份证正面</w:t>
            </w:r>
          </w:p>
          <w:p w14:paraId="2D3B68CE">
            <w:pPr>
              <w:spacing w:line="360" w:lineRule="auto"/>
              <w:jc w:val="left"/>
              <w:rPr>
                <w:sz w:val="24"/>
              </w:rPr>
            </w:pPr>
          </w:p>
          <w:p w14:paraId="63D74358">
            <w:pPr>
              <w:spacing w:line="360" w:lineRule="auto"/>
              <w:jc w:val="left"/>
              <w:rPr>
                <w:sz w:val="24"/>
              </w:rPr>
            </w:pPr>
          </w:p>
          <w:p w14:paraId="428DB6AC">
            <w:pPr>
              <w:spacing w:line="360" w:lineRule="auto"/>
              <w:jc w:val="left"/>
              <w:rPr>
                <w:sz w:val="24"/>
              </w:rPr>
            </w:pPr>
          </w:p>
          <w:p w14:paraId="466B86CB">
            <w:pPr>
              <w:spacing w:line="360" w:lineRule="auto"/>
              <w:jc w:val="left"/>
              <w:rPr>
                <w:sz w:val="24"/>
              </w:rPr>
            </w:pPr>
          </w:p>
          <w:p w14:paraId="4DE7720B">
            <w:pPr>
              <w:spacing w:line="360" w:lineRule="auto"/>
              <w:jc w:val="left"/>
              <w:rPr>
                <w:sz w:val="24"/>
              </w:rPr>
            </w:pPr>
          </w:p>
        </w:tc>
        <w:tc>
          <w:tcPr>
            <w:tcW w:w="4264" w:type="dxa"/>
            <w:shd w:val="clear" w:color="auto" w:fill="auto"/>
          </w:tcPr>
          <w:p w14:paraId="5B72F3D0">
            <w:pPr>
              <w:spacing w:line="360" w:lineRule="auto"/>
              <w:jc w:val="left"/>
              <w:rPr>
                <w:sz w:val="24"/>
              </w:rPr>
            </w:pPr>
            <w:r>
              <w:rPr>
                <w:rFonts w:hint="eastAsia"/>
                <w:sz w:val="24"/>
              </w:rPr>
              <w:t>谈判代表人身份证背面</w:t>
            </w:r>
          </w:p>
        </w:tc>
      </w:tr>
    </w:tbl>
    <w:p w14:paraId="243A0E25">
      <w:pPr>
        <w:widowControl/>
        <w:jc w:val="left"/>
        <w:rPr>
          <w:sz w:val="24"/>
        </w:rPr>
      </w:pPr>
    </w:p>
    <w:p w14:paraId="38CEB67F">
      <w:pPr>
        <w:widowControl/>
        <w:jc w:val="left"/>
        <w:rPr>
          <w:rFonts w:ascii="宋体" w:hAnsi="宋体"/>
          <w:sz w:val="24"/>
          <w:szCs w:val="24"/>
        </w:rPr>
      </w:pPr>
      <w:r>
        <w:rPr>
          <w:rFonts w:ascii="宋体" w:hAnsi="宋体"/>
          <w:sz w:val="24"/>
          <w:szCs w:val="24"/>
        </w:rPr>
        <w:br w:type="page"/>
      </w:r>
    </w:p>
    <w:p w14:paraId="2BD84CF5">
      <w:pPr>
        <w:spacing w:line="460" w:lineRule="exact"/>
        <w:jc w:val="left"/>
        <w:rPr>
          <w:b/>
          <w:sz w:val="24"/>
        </w:rPr>
      </w:pPr>
      <w:r>
        <w:rPr>
          <w:b/>
          <w:sz w:val="24"/>
        </w:rPr>
        <w:t>附件</w:t>
      </w:r>
      <w:r>
        <w:rPr>
          <w:rFonts w:hint="eastAsia"/>
          <w:b/>
          <w:sz w:val="24"/>
        </w:rPr>
        <w:t>4-1</w:t>
      </w:r>
    </w:p>
    <w:p w14:paraId="6470CED1">
      <w:pPr>
        <w:tabs>
          <w:tab w:val="left" w:pos="360"/>
        </w:tabs>
        <w:spacing w:line="560" w:lineRule="exact"/>
        <w:jc w:val="center"/>
        <w:rPr>
          <w:b/>
          <w:sz w:val="24"/>
        </w:rPr>
      </w:pPr>
      <w:r>
        <w:rPr>
          <w:b/>
          <w:sz w:val="24"/>
        </w:rPr>
        <w:t>商务要求点对点应答表</w:t>
      </w:r>
    </w:p>
    <w:p w14:paraId="4E5C4C7A">
      <w:pPr>
        <w:spacing w:line="460" w:lineRule="exact"/>
        <w:rPr>
          <w:sz w:val="24"/>
        </w:rPr>
      </w:pPr>
    </w:p>
    <w:p w14:paraId="00F9AA74">
      <w:pPr>
        <w:spacing w:line="460" w:lineRule="exact"/>
        <w:rPr>
          <w:sz w:val="24"/>
        </w:rPr>
      </w:pPr>
      <w:r>
        <w:rPr>
          <w:sz w:val="24"/>
        </w:rPr>
        <w:t>项目名称：</w:t>
      </w:r>
      <w:r>
        <w:rPr>
          <w:sz w:val="24"/>
          <w:u w:val="single"/>
        </w:rPr>
        <w:t xml:space="preserve">                    </w:t>
      </w:r>
    </w:p>
    <w:p w14:paraId="44BE57E6">
      <w:pPr>
        <w:spacing w:line="460" w:lineRule="exact"/>
        <w:rPr>
          <w:sz w:val="24"/>
        </w:rPr>
      </w:pPr>
      <w:r>
        <w:rPr>
          <w:sz w:val="24"/>
        </w:rPr>
        <w:t>项目编号：</w:t>
      </w:r>
      <w:r>
        <w:rPr>
          <w:sz w:val="24"/>
          <w:u w:val="single"/>
        </w:rPr>
        <w:t xml:space="preserve">                    </w:t>
      </w:r>
    </w:p>
    <w:p w14:paraId="641EA43B">
      <w:pPr>
        <w:spacing w:line="460" w:lineRule="exact"/>
        <w:rPr>
          <w:sz w:val="24"/>
          <w:u w:val="single"/>
        </w:rPr>
      </w:pPr>
      <w:r>
        <w:rPr>
          <w:sz w:val="24"/>
        </w:rPr>
        <w:t>包号：</w:t>
      </w:r>
      <w:r>
        <w:rPr>
          <w:sz w:val="24"/>
          <w:u w:val="single"/>
        </w:rPr>
        <w:t xml:space="preserve">                        </w:t>
      </w:r>
    </w:p>
    <w:p w14:paraId="715BCDEC">
      <w:pPr>
        <w:spacing w:line="460" w:lineRule="exact"/>
        <w:rPr>
          <w:sz w:val="24"/>
          <w:u w:val="single"/>
        </w:rPr>
      </w:pPr>
    </w:p>
    <w:tbl>
      <w:tblPr>
        <w:tblStyle w:val="3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14:paraId="14A0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208D9AC1">
            <w:pPr>
              <w:widowControl/>
              <w:snapToGrid w:val="0"/>
              <w:jc w:val="center"/>
              <w:rPr>
                <w:kern w:val="0"/>
                <w:sz w:val="24"/>
                <w:szCs w:val="24"/>
              </w:rPr>
            </w:pPr>
            <w:r>
              <w:rPr>
                <w:kern w:val="0"/>
                <w:sz w:val="24"/>
                <w:szCs w:val="24"/>
              </w:rPr>
              <w:t>序号</w:t>
            </w:r>
          </w:p>
        </w:tc>
        <w:tc>
          <w:tcPr>
            <w:tcW w:w="2500" w:type="dxa"/>
            <w:shd w:val="clear" w:color="auto" w:fill="auto"/>
            <w:vAlign w:val="center"/>
          </w:tcPr>
          <w:p w14:paraId="3EBB7611">
            <w:pPr>
              <w:widowControl/>
              <w:snapToGrid w:val="0"/>
              <w:jc w:val="center"/>
              <w:rPr>
                <w:kern w:val="0"/>
                <w:sz w:val="24"/>
                <w:szCs w:val="24"/>
              </w:rPr>
            </w:pPr>
            <w:r>
              <w:rPr>
                <w:rFonts w:hint="eastAsia"/>
                <w:kern w:val="0"/>
                <w:sz w:val="24"/>
                <w:szCs w:val="24"/>
              </w:rPr>
              <w:t>采购文件</w:t>
            </w:r>
            <w:r>
              <w:rPr>
                <w:kern w:val="0"/>
                <w:sz w:val="24"/>
                <w:szCs w:val="24"/>
              </w:rPr>
              <w:t>要求</w:t>
            </w:r>
          </w:p>
        </w:tc>
        <w:tc>
          <w:tcPr>
            <w:tcW w:w="2680" w:type="dxa"/>
            <w:shd w:val="clear" w:color="auto" w:fill="auto"/>
            <w:vAlign w:val="center"/>
          </w:tcPr>
          <w:p w14:paraId="4A414619">
            <w:pPr>
              <w:widowControl/>
              <w:snapToGrid w:val="0"/>
              <w:jc w:val="center"/>
              <w:rPr>
                <w:kern w:val="0"/>
                <w:sz w:val="24"/>
                <w:szCs w:val="24"/>
              </w:rPr>
            </w:pPr>
            <w:r>
              <w:rPr>
                <w:rFonts w:hint="eastAsia"/>
                <w:kern w:val="0"/>
                <w:sz w:val="24"/>
                <w:szCs w:val="24"/>
              </w:rPr>
              <w:t>响应</w:t>
            </w:r>
            <w:r>
              <w:rPr>
                <w:kern w:val="0"/>
                <w:sz w:val="24"/>
                <w:szCs w:val="24"/>
              </w:rPr>
              <w:t>应答</w:t>
            </w:r>
          </w:p>
        </w:tc>
        <w:tc>
          <w:tcPr>
            <w:tcW w:w="1979" w:type="dxa"/>
            <w:shd w:val="clear" w:color="auto" w:fill="auto"/>
            <w:vAlign w:val="center"/>
          </w:tcPr>
          <w:p w14:paraId="100B62DF">
            <w:pPr>
              <w:widowControl/>
              <w:snapToGrid w:val="0"/>
              <w:jc w:val="center"/>
              <w:rPr>
                <w:kern w:val="0"/>
                <w:sz w:val="24"/>
                <w:szCs w:val="24"/>
              </w:rPr>
            </w:pPr>
            <w:r>
              <w:rPr>
                <w:kern w:val="0"/>
                <w:sz w:val="24"/>
                <w:szCs w:val="24"/>
              </w:rPr>
              <w:t>偏离说明</w:t>
            </w:r>
          </w:p>
        </w:tc>
        <w:tc>
          <w:tcPr>
            <w:tcW w:w="1241" w:type="dxa"/>
            <w:shd w:val="clear" w:color="auto" w:fill="auto"/>
            <w:vAlign w:val="center"/>
          </w:tcPr>
          <w:p w14:paraId="03D0F005">
            <w:pPr>
              <w:widowControl/>
              <w:snapToGrid w:val="0"/>
              <w:jc w:val="center"/>
              <w:rPr>
                <w:kern w:val="0"/>
                <w:sz w:val="24"/>
                <w:szCs w:val="24"/>
              </w:rPr>
            </w:pPr>
            <w:r>
              <w:rPr>
                <w:kern w:val="0"/>
                <w:sz w:val="24"/>
                <w:szCs w:val="24"/>
              </w:rPr>
              <w:t>备注</w:t>
            </w:r>
          </w:p>
        </w:tc>
      </w:tr>
      <w:tr w14:paraId="61FE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16B681FC">
            <w:pPr>
              <w:widowControl/>
              <w:snapToGrid w:val="0"/>
              <w:jc w:val="left"/>
              <w:rPr>
                <w:kern w:val="0"/>
                <w:sz w:val="24"/>
                <w:szCs w:val="24"/>
              </w:rPr>
            </w:pPr>
            <w:r>
              <w:rPr>
                <w:kern w:val="0"/>
                <w:sz w:val="24"/>
                <w:szCs w:val="24"/>
              </w:rPr>
              <w:t>（</w:t>
            </w:r>
            <w:r>
              <w:rPr>
                <w:rFonts w:hint="eastAsia"/>
                <w:kern w:val="0"/>
                <w:sz w:val="24"/>
                <w:szCs w:val="24"/>
              </w:rPr>
              <w:t>一</w:t>
            </w:r>
            <w:r>
              <w:rPr>
                <w:kern w:val="0"/>
                <w:sz w:val="24"/>
                <w:szCs w:val="24"/>
              </w:rPr>
              <w:t>）报价要求</w:t>
            </w:r>
          </w:p>
        </w:tc>
      </w:tr>
      <w:tr w14:paraId="559B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1E95A9A9">
            <w:pPr>
              <w:widowControl/>
              <w:snapToGrid w:val="0"/>
              <w:jc w:val="center"/>
              <w:rPr>
                <w:kern w:val="0"/>
                <w:sz w:val="24"/>
                <w:szCs w:val="24"/>
              </w:rPr>
            </w:pPr>
          </w:p>
        </w:tc>
        <w:tc>
          <w:tcPr>
            <w:tcW w:w="2500" w:type="dxa"/>
            <w:shd w:val="clear" w:color="auto" w:fill="auto"/>
            <w:vAlign w:val="center"/>
          </w:tcPr>
          <w:p w14:paraId="5E736E2A">
            <w:pPr>
              <w:widowControl/>
              <w:snapToGrid w:val="0"/>
              <w:jc w:val="left"/>
              <w:rPr>
                <w:kern w:val="0"/>
                <w:sz w:val="24"/>
                <w:szCs w:val="24"/>
              </w:rPr>
            </w:pPr>
          </w:p>
        </w:tc>
        <w:tc>
          <w:tcPr>
            <w:tcW w:w="2680" w:type="dxa"/>
            <w:shd w:val="clear" w:color="auto" w:fill="auto"/>
            <w:vAlign w:val="center"/>
          </w:tcPr>
          <w:p w14:paraId="71AEBB9C">
            <w:pPr>
              <w:widowControl/>
              <w:snapToGrid w:val="0"/>
              <w:jc w:val="left"/>
              <w:rPr>
                <w:kern w:val="0"/>
                <w:sz w:val="24"/>
                <w:szCs w:val="24"/>
              </w:rPr>
            </w:pPr>
          </w:p>
        </w:tc>
        <w:tc>
          <w:tcPr>
            <w:tcW w:w="1979" w:type="dxa"/>
            <w:shd w:val="clear" w:color="auto" w:fill="auto"/>
            <w:vAlign w:val="center"/>
          </w:tcPr>
          <w:p w14:paraId="3CE3B62C">
            <w:pPr>
              <w:widowControl/>
              <w:snapToGrid w:val="0"/>
              <w:jc w:val="left"/>
              <w:rPr>
                <w:kern w:val="0"/>
                <w:sz w:val="24"/>
                <w:szCs w:val="24"/>
              </w:rPr>
            </w:pPr>
          </w:p>
        </w:tc>
        <w:tc>
          <w:tcPr>
            <w:tcW w:w="1241" w:type="dxa"/>
            <w:shd w:val="clear" w:color="auto" w:fill="auto"/>
            <w:vAlign w:val="center"/>
          </w:tcPr>
          <w:p w14:paraId="5B9E0D6C">
            <w:pPr>
              <w:widowControl/>
              <w:snapToGrid w:val="0"/>
              <w:jc w:val="left"/>
              <w:rPr>
                <w:kern w:val="0"/>
                <w:sz w:val="24"/>
                <w:szCs w:val="24"/>
              </w:rPr>
            </w:pPr>
          </w:p>
        </w:tc>
      </w:tr>
      <w:tr w14:paraId="462B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shd w:val="clear" w:color="auto" w:fill="auto"/>
            <w:vAlign w:val="center"/>
          </w:tcPr>
          <w:p w14:paraId="65AAD367">
            <w:pPr>
              <w:widowControl/>
              <w:snapToGrid w:val="0"/>
              <w:jc w:val="center"/>
              <w:rPr>
                <w:kern w:val="0"/>
                <w:sz w:val="24"/>
                <w:szCs w:val="24"/>
              </w:rPr>
            </w:pPr>
          </w:p>
        </w:tc>
        <w:tc>
          <w:tcPr>
            <w:tcW w:w="2500" w:type="dxa"/>
            <w:shd w:val="clear" w:color="auto" w:fill="auto"/>
            <w:vAlign w:val="center"/>
          </w:tcPr>
          <w:p w14:paraId="0C9593E1">
            <w:pPr>
              <w:widowControl/>
              <w:snapToGrid w:val="0"/>
              <w:jc w:val="left"/>
              <w:rPr>
                <w:kern w:val="0"/>
                <w:sz w:val="24"/>
                <w:szCs w:val="24"/>
              </w:rPr>
            </w:pPr>
          </w:p>
        </w:tc>
        <w:tc>
          <w:tcPr>
            <w:tcW w:w="2680" w:type="dxa"/>
            <w:shd w:val="clear" w:color="auto" w:fill="auto"/>
            <w:vAlign w:val="center"/>
          </w:tcPr>
          <w:p w14:paraId="1AB9F272">
            <w:pPr>
              <w:widowControl/>
              <w:snapToGrid w:val="0"/>
              <w:jc w:val="left"/>
              <w:rPr>
                <w:kern w:val="0"/>
                <w:sz w:val="24"/>
                <w:szCs w:val="24"/>
              </w:rPr>
            </w:pPr>
          </w:p>
        </w:tc>
        <w:tc>
          <w:tcPr>
            <w:tcW w:w="1979" w:type="dxa"/>
            <w:shd w:val="clear" w:color="auto" w:fill="auto"/>
            <w:vAlign w:val="center"/>
          </w:tcPr>
          <w:p w14:paraId="49E3F083">
            <w:pPr>
              <w:widowControl/>
              <w:snapToGrid w:val="0"/>
              <w:jc w:val="left"/>
              <w:rPr>
                <w:kern w:val="0"/>
                <w:sz w:val="24"/>
                <w:szCs w:val="24"/>
              </w:rPr>
            </w:pPr>
          </w:p>
        </w:tc>
        <w:tc>
          <w:tcPr>
            <w:tcW w:w="1241" w:type="dxa"/>
            <w:shd w:val="clear" w:color="auto" w:fill="auto"/>
            <w:vAlign w:val="center"/>
          </w:tcPr>
          <w:p w14:paraId="7CD5CDEE">
            <w:pPr>
              <w:widowControl/>
              <w:snapToGrid w:val="0"/>
              <w:jc w:val="left"/>
              <w:rPr>
                <w:kern w:val="0"/>
                <w:sz w:val="24"/>
                <w:szCs w:val="24"/>
              </w:rPr>
            </w:pPr>
          </w:p>
        </w:tc>
      </w:tr>
      <w:tr w14:paraId="5893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6EBFB91D">
            <w:pPr>
              <w:widowControl/>
              <w:snapToGrid w:val="0"/>
              <w:jc w:val="left"/>
              <w:rPr>
                <w:kern w:val="0"/>
                <w:sz w:val="24"/>
                <w:szCs w:val="24"/>
              </w:rPr>
            </w:pPr>
            <w:r>
              <w:rPr>
                <w:rFonts w:hint="eastAsia"/>
                <w:kern w:val="0"/>
                <w:sz w:val="24"/>
                <w:szCs w:val="24"/>
              </w:rPr>
              <w:t>（二）</w:t>
            </w:r>
            <w:r>
              <w:rPr>
                <w:sz w:val="24"/>
                <w:szCs w:val="24"/>
              </w:rPr>
              <w:t>时间、地点要求</w:t>
            </w:r>
          </w:p>
        </w:tc>
      </w:tr>
      <w:tr w14:paraId="2771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2BF66676">
            <w:pPr>
              <w:widowControl/>
              <w:snapToGrid w:val="0"/>
              <w:jc w:val="center"/>
              <w:rPr>
                <w:kern w:val="0"/>
                <w:sz w:val="24"/>
                <w:szCs w:val="24"/>
              </w:rPr>
            </w:pPr>
          </w:p>
        </w:tc>
        <w:tc>
          <w:tcPr>
            <w:tcW w:w="2500" w:type="dxa"/>
            <w:shd w:val="clear" w:color="auto" w:fill="auto"/>
            <w:vAlign w:val="center"/>
          </w:tcPr>
          <w:p w14:paraId="6FADEA75">
            <w:pPr>
              <w:widowControl/>
              <w:snapToGrid w:val="0"/>
              <w:jc w:val="left"/>
              <w:rPr>
                <w:kern w:val="0"/>
                <w:sz w:val="24"/>
                <w:szCs w:val="24"/>
              </w:rPr>
            </w:pPr>
          </w:p>
        </w:tc>
        <w:tc>
          <w:tcPr>
            <w:tcW w:w="2680" w:type="dxa"/>
            <w:shd w:val="clear" w:color="auto" w:fill="auto"/>
            <w:vAlign w:val="center"/>
          </w:tcPr>
          <w:p w14:paraId="5B4D9785">
            <w:pPr>
              <w:widowControl/>
              <w:snapToGrid w:val="0"/>
              <w:jc w:val="left"/>
              <w:rPr>
                <w:kern w:val="0"/>
                <w:sz w:val="24"/>
                <w:szCs w:val="24"/>
              </w:rPr>
            </w:pPr>
          </w:p>
        </w:tc>
        <w:tc>
          <w:tcPr>
            <w:tcW w:w="1979" w:type="dxa"/>
            <w:shd w:val="clear" w:color="auto" w:fill="auto"/>
            <w:vAlign w:val="center"/>
          </w:tcPr>
          <w:p w14:paraId="1107F306">
            <w:pPr>
              <w:widowControl/>
              <w:snapToGrid w:val="0"/>
              <w:jc w:val="left"/>
              <w:rPr>
                <w:kern w:val="0"/>
                <w:sz w:val="24"/>
                <w:szCs w:val="24"/>
              </w:rPr>
            </w:pPr>
          </w:p>
        </w:tc>
        <w:tc>
          <w:tcPr>
            <w:tcW w:w="1241" w:type="dxa"/>
            <w:shd w:val="clear" w:color="auto" w:fill="auto"/>
            <w:vAlign w:val="center"/>
          </w:tcPr>
          <w:p w14:paraId="563DB92F">
            <w:pPr>
              <w:widowControl/>
              <w:snapToGrid w:val="0"/>
              <w:jc w:val="left"/>
              <w:rPr>
                <w:kern w:val="0"/>
                <w:sz w:val="24"/>
                <w:szCs w:val="24"/>
              </w:rPr>
            </w:pPr>
          </w:p>
        </w:tc>
      </w:tr>
      <w:tr w14:paraId="63E4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355659F">
            <w:pPr>
              <w:widowControl/>
              <w:snapToGrid w:val="0"/>
              <w:jc w:val="center"/>
              <w:rPr>
                <w:kern w:val="0"/>
                <w:sz w:val="24"/>
                <w:szCs w:val="24"/>
              </w:rPr>
            </w:pPr>
          </w:p>
        </w:tc>
        <w:tc>
          <w:tcPr>
            <w:tcW w:w="2500" w:type="dxa"/>
            <w:shd w:val="clear" w:color="auto" w:fill="auto"/>
            <w:vAlign w:val="center"/>
          </w:tcPr>
          <w:p w14:paraId="000152A3">
            <w:pPr>
              <w:widowControl/>
              <w:snapToGrid w:val="0"/>
              <w:jc w:val="left"/>
              <w:rPr>
                <w:kern w:val="0"/>
                <w:sz w:val="24"/>
                <w:szCs w:val="24"/>
              </w:rPr>
            </w:pPr>
          </w:p>
        </w:tc>
        <w:tc>
          <w:tcPr>
            <w:tcW w:w="2680" w:type="dxa"/>
            <w:shd w:val="clear" w:color="auto" w:fill="auto"/>
            <w:vAlign w:val="center"/>
          </w:tcPr>
          <w:p w14:paraId="1245302D">
            <w:pPr>
              <w:widowControl/>
              <w:snapToGrid w:val="0"/>
              <w:jc w:val="left"/>
              <w:rPr>
                <w:kern w:val="0"/>
                <w:sz w:val="24"/>
                <w:szCs w:val="24"/>
              </w:rPr>
            </w:pPr>
          </w:p>
        </w:tc>
        <w:tc>
          <w:tcPr>
            <w:tcW w:w="1979" w:type="dxa"/>
            <w:shd w:val="clear" w:color="auto" w:fill="auto"/>
            <w:vAlign w:val="center"/>
          </w:tcPr>
          <w:p w14:paraId="6FF0FECE">
            <w:pPr>
              <w:widowControl/>
              <w:snapToGrid w:val="0"/>
              <w:jc w:val="left"/>
              <w:rPr>
                <w:kern w:val="0"/>
                <w:sz w:val="24"/>
                <w:szCs w:val="24"/>
              </w:rPr>
            </w:pPr>
          </w:p>
        </w:tc>
        <w:tc>
          <w:tcPr>
            <w:tcW w:w="1241" w:type="dxa"/>
            <w:shd w:val="clear" w:color="auto" w:fill="auto"/>
            <w:vAlign w:val="center"/>
          </w:tcPr>
          <w:p w14:paraId="62DA7F09">
            <w:pPr>
              <w:widowControl/>
              <w:snapToGrid w:val="0"/>
              <w:jc w:val="left"/>
              <w:rPr>
                <w:kern w:val="0"/>
                <w:sz w:val="24"/>
                <w:szCs w:val="24"/>
              </w:rPr>
            </w:pPr>
          </w:p>
        </w:tc>
      </w:tr>
      <w:tr w14:paraId="46D7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80" w:type="dxa"/>
            <w:gridSpan w:val="5"/>
            <w:shd w:val="clear" w:color="auto" w:fill="auto"/>
            <w:vAlign w:val="center"/>
          </w:tcPr>
          <w:p w14:paraId="4A594956">
            <w:pPr>
              <w:widowControl/>
              <w:snapToGrid w:val="0"/>
              <w:jc w:val="left"/>
              <w:rPr>
                <w:kern w:val="0"/>
                <w:sz w:val="24"/>
                <w:szCs w:val="24"/>
              </w:rPr>
            </w:pPr>
            <w:r>
              <w:rPr>
                <w:rFonts w:hint="eastAsia"/>
                <w:kern w:val="0"/>
                <w:sz w:val="24"/>
                <w:szCs w:val="24"/>
              </w:rPr>
              <w:t>（三）</w:t>
            </w:r>
            <w:r>
              <w:rPr>
                <w:kern w:val="0"/>
                <w:sz w:val="24"/>
                <w:szCs w:val="24"/>
              </w:rPr>
              <w:t>付款方式</w:t>
            </w:r>
          </w:p>
        </w:tc>
      </w:tr>
      <w:tr w14:paraId="4A04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A996E2B">
            <w:pPr>
              <w:widowControl/>
              <w:snapToGrid w:val="0"/>
              <w:jc w:val="center"/>
              <w:rPr>
                <w:kern w:val="0"/>
                <w:sz w:val="24"/>
                <w:szCs w:val="24"/>
              </w:rPr>
            </w:pPr>
          </w:p>
        </w:tc>
        <w:tc>
          <w:tcPr>
            <w:tcW w:w="2500" w:type="dxa"/>
            <w:shd w:val="clear" w:color="auto" w:fill="auto"/>
            <w:vAlign w:val="center"/>
          </w:tcPr>
          <w:p w14:paraId="692E017C">
            <w:pPr>
              <w:widowControl/>
              <w:snapToGrid w:val="0"/>
              <w:jc w:val="left"/>
              <w:rPr>
                <w:kern w:val="0"/>
                <w:sz w:val="24"/>
                <w:szCs w:val="24"/>
              </w:rPr>
            </w:pPr>
          </w:p>
        </w:tc>
        <w:tc>
          <w:tcPr>
            <w:tcW w:w="2680" w:type="dxa"/>
            <w:shd w:val="clear" w:color="auto" w:fill="auto"/>
            <w:vAlign w:val="center"/>
          </w:tcPr>
          <w:p w14:paraId="374ED3C6">
            <w:pPr>
              <w:widowControl/>
              <w:snapToGrid w:val="0"/>
              <w:jc w:val="left"/>
              <w:rPr>
                <w:kern w:val="0"/>
                <w:sz w:val="24"/>
                <w:szCs w:val="24"/>
              </w:rPr>
            </w:pPr>
          </w:p>
        </w:tc>
        <w:tc>
          <w:tcPr>
            <w:tcW w:w="1979" w:type="dxa"/>
            <w:shd w:val="clear" w:color="auto" w:fill="auto"/>
            <w:vAlign w:val="center"/>
          </w:tcPr>
          <w:p w14:paraId="53D702F4">
            <w:pPr>
              <w:widowControl/>
              <w:snapToGrid w:val="0"/>
              <w:jc w:val="left"/>
              <w:rPr>
                <w:kern w:val="0"/>
                <w:sz w:val="24"/>
                <w:szCs w:val="24"/>
              </w:rPr>
            </w:pPr>
          </w:p>
        </w:tc>
        <w:tc>
          <w:tcPr>
            <w:tcW w:w="1241" w:type="dxa"/>
            <w:shd w:val="clear" w:color="auto" w:fill="auto"/>
            <w:vAlign w:val="center"/>
          </w:tcPr>
          <w:p w14:paraId="49973C3C">
            <w:pPr>
              <w:widowControl/>
              <w:snapToGrid w:val="0"/>
              <w:jc w:val="left"/>
              <w:rPr>
                <w:kern w:val="0"/>
                <w:sz w:val="24"/>
                <w:szCs w:val="24"/>
              </w:rPr>
            </w:pPr>
          </w:p>
        </w:tc>
      </w:tr>
      <w:tr w14:paraId="44FB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7EA63782">
            <w:pPr>
              <w:widowControl/>
              <w:snapToGrid w:val="0"/>
              <w:jc w:val="left"/>
              <w:rPr>
                <w:kern w:val="0"/>
                <w:sz w:val="24"/>
                <w:szCs w:val="24"/>
              </w:rPr>
            </w:pPr>
            <w:r>
              <w:rPr>
                <w:kern w:val="0"/>
                <w:sz w:val="24"/>
                <w:szCs w:val="24"/>
              </w:rPr>
              <w:t>（</w:t>
            </w:r>
            <w:r>
              <w:rPr>
                <w:rFonts w:hint="eastAsia"/>
                <w:kern w:val="0"/>
                <w:sz w:val="24"/>
                <w:szCs w:val="24"/>
              </w:rPr>
              <w:t>四</w:t>
            </w:r>
            <w:r>
              <w:rPr>
                <w:kern w:val="0"/>
                <w:sz w:val="24"/>
                <w:szCs w:val="24"/>
              </w:rPr>
              <w:t>）</w:t>
            </w:r>
            <w:r>
              <w:rPr>
                <w:rFonts w:hint="eastAsia"/>
                <w:kern w:val="0"/>
                <w:sz w:val="24"/>
                <w:szCs w:val="24"/>
              </w:rPr>
              <w:t>谈判</w:t>
            </w:r>
            <w:r>
              <w:rPr>
                <w:kern w:val="0"/>
                <w:sz w:val="24"/>
                <w:szCs w:val="24"/>
              </w:rPr>
              <w:t>保证金和履约保证金</w:t>
            </w:r>
          </w:p>
        </w:tc>
      </w:tr>
      <w:tr w14:paraId="5F1B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3C7B197D">
            <w:pPr>
              <w:widowControl/>
              <w:snapToGrid w:val="0"/>
              <w:jc w:val="center"/>
              <w:rPr>
                <w:kern w:val="0"/>
                <w:sz w:val="24"/>
                <w:szCs w:val="24"/>
              </w:rPr>
            </w:pPr>
          </w:p>
        </w:tc>
        <w:tc>
          <w:tcPr>
            <w:tcW w:w="2500" w:type="dxa"/>
            <w:shd w:val="clear" w:color="auto" w:fill="auto"/>
            <w:vAlign w:val="center"/>
          </w:tcPr>
          <w:p w14:paraId="6F7073C0">
            <w:pPr>
              <w:widowControl/>
              <w:snapToGrid w:val="0"/>
              <w:jc w:val="left"/>
              <w:rPr>
                <w:kern w:val="0"/>
                <w:sz w:val="24"/>
                <w:szCs w:val="24"/>
              </w:rPr>
            </w:pPr>
          </w:p>
        </w:tc>
        <w:tc>
          <w:tcPr>
            <w:tcW w:w="2680" w:type="dxa"/>
            <w:shd w:val="clear" w:color="auto" w:fill="auto"/>
            <w:vAlign w:val="center"/>
          </w:tcPr>
          <w:p w14:paraId="4EB6CDF1">
            <w:pPr>
              <w:widowControl/>
              <w:snapToGrid w:val="0"/>
              <w:jc w:val="left"/>
              <w:rPr>
                <w:kern w:val="0"/>
                <w:sz w:val="24"/>
                <w:szCs w:val="24"/>
              </w:rPr>
            </w:pPr>
          </w:p>
        </w:tc>
        <w:tc>
          <w:tcPr>
            <w:tcW w:w="1979" w:type="dxa"/>
            <w:shd w:val="clear" w:color="auto" w:fill="auto"/>
            <w:vAlign w:val="center"/>
          </w:tcPr>
          <w:p w14:paraId="1CBA7EE8">
            <w:pPr>
              <w:widowControl/>
              <w:snapToGrid w:val="0"/>
              <w:jc w:val="left"/>
              <w:rPr>
                <w:kern w:val="0"/>
                <w:sz w:val="24"/>
                <w:szCs w:val="24"/>
              </w:rPr>
            </w:pPr>
          </w:p>
        </w:tc>
        <w:tc>
          <w:tcPr>
            <w:tcW w:w="1241" w:type="dxa"/>
            <w:shd w:val="clear" w:color="auto" w:fill="auto"/>
            <w:vAlign w:val="center"/>
          </w:tcPr>
          <w:p w14:paraId="27A6C54F">
            <w:pPr>
              <w:widowControl/>
              <w:snapToGrid w:val="0"/>
              <w:jc w:val="left"/>
              <w:rPr>
                <w:kern w:val="0"/>
                <w:sz w:val="24"/>
                <w:szCs w:val="24"/>
              </w:rPr>
            </w:pPr>
          </w:p>
        </w:tc>
      </w:tr>
    </w:tbl>
    <w:p w14:paraId="75BE817C">
      <w:pPr>
        <w:spacing w:line="620" w:lineRule="exact"/>
        <w:rPr>
          <w:sz w:val="24"/>
        </w:rPr>
      </w:pPr>
      <w:r>
        <w:rPr>
          <w:sz w:val="24"/>
        </w:rPr>
        <w:t>注：</w:t>
      </w:r>
    </w:p>
    <w:p w14:paraId="5863E990">
      <w:pPr>
        <w:spacing w:line="360" w:lineRule="auto"/>
        <w:ind w:firstLine="480" w:firstLineChars="200"/>
        <w:rPr>
          <w:sz w:val="24"/>
        </w:rPr>
      </w:pPr>
      <w:r>
        <w:rPr>
          <w:rFonts w:hint="eastAsia"/>
          <w:sz w:val="24"/>
        </w:rPr>
        <w:t>1. 此表应按采购文件商务要求中的全部内容逐项进行应答，未应答的，视为不满足采购文件要求。</w:t>
      </w:r>
    </w:p>
    <w:p w14:paraId="2048E9B5">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317C2DB9">
      <w:pPr>
        <w:spacing w:line="360" w:lineRule="auto"/>
        <w:ind w:firstLine="480" w:firstLineChars="200"/>
        <w:rPr>
          <w:sz w:val="24"/>
        </w:rPr>
      </w:pPr>
      <w:r>
        <w:rPr>
          <w:rFonts w:hint="eastAsia"/>
          <w:sz w:val="24"/>
        </w:rPr>
        <w:t>3</w:t>
      </w:r>
      <w:r>
        <w:rPr>
          <w:sz w:val="24"/>
        </w:rPr>
        <w:t>. “</w:t>
      </w:r>
      <w:r>
        <w:rPr>
          <w:rFonts w:hint="eastAsia"/>
          <w:sz w:val="24"/>
        </w:rPr>
        <w:t>采购文件</w:t>
      </w:r>
      <w:r>
        <w:rPr>
          <w:sz w:val="24"/>
        </w:rPr>
        <w:t>要求”指采购文件中规定的具体要求，“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采购文件</w:t>
      </w:r>
      <w:r>
        <w:rPr>
          <w:sz w:val="24"/>
        </w:rPr>
        <w:t>要求与</w:t>
      </w:r>
      <w:r>
        <w:rPr>
          <w:rFonts w:hint="eastAsia"/>
          <w:sz w:val="24"/>
        </w:rPr>
        <w:t>响应</w:t>
      </w:r>
      <w:r>
        <w:rPr>
          <w:sz w:val="24"/>
        </w:rPr>
        <w:t>应答之间的不同之处。</w:t>
      </w:r>
    </w:p>
    <w:p w14:paraId="5FE45FE6">
      <w:pPr>
        <w:spacing w:line="360" w:lineRule="auto"/>
        <w:rPr>
          <w:sz w:val="24"/>
        </w:rPr>
      </w:pPr>
    </w:p>
    <w:p w14:paraId="038015CB">
      <w:pPr>
        <w:spacing w:line="360" w:lineRule="auto"/>
        <w:ind w:firstLine="4080" w:firstLineChars="1700"/>
        <w:rPr>
          <w:sz w:val="24"/>
        </w:rPr>
      </w:pPr>
      <w:r>
        <w:rPr>
          <w:sz w:val="24"/>
        </w:rPr>
        <w:t>供应商名称：</w:t>
      </w:r>
    </w:p>
    <w:p w14:paraId="777589D1">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4A822A8">
      <w:pPr>
        <w:spacing w:line="460" w:lineRule="exact"/>
        <w:jc w:val="left"/>
        <w:rPr>
          <w:b/>
          <w:sz w:val="24"/>
        </w:rPr>
      </w:pPr>
      <w:r>
        <w:rPr>
          <w:sz w:val="24"/>
        </w:rPr>
        <w:br w:type="page"/>
      </w:r>
      <w:r>
        <w:rPr>
          <w:b/>
          <w:sz w:val="24"/>
        </w:rPr>
        <w:t>附件</w:t>
      </w:r>
      <w:r>
        <w:rPr>
          <w:rFonts w:hint="eastAsia"/>
          <w:b/>
          <w:sz w:val="24"/>
        </w:rPr>
        <w:t>5</w:t>
      </w:r>
      <w:r>
        <w:rPr>
          <w:b/>
          <w:sz w:val="24"/>
        </w:rPr>
        <w:t>-2</w:t>
      </w:r>
    </w:p>
    <w:p w14:paraId="660125F5">
      <w:pPr>
        <w:spacing w:line="360" w:lineRule="auto"/>
        <w:jc w:val="center"/>
        <w:rPr>
          <w:b/>
          <w:bCs/>
          <w:sz w:val="24"/>
          <w:szCs w:val="24"/>
        </w:rPr>
      </w:pPr>
      <w:r>
        <w:rPr>
          <w:rFonts w:ascii="宋体" w:hAnsi="宋体"/>
          <w:b/>
          <w:bCs/>
          <w:sz w:val="24"/>
          <w:szCs w:val="24"/>
        </w:rPr>
        <w:t>技术要求偏离应答表</w:t>
      </w:r>
    </w:p>
    <w:p w14:paraId="483A22B3">
      <w:pPr>
        <w:spacing w:line="460" w:lineRule="exact"/>
        <w:rPr>
          <w:sz w:val="24"/>
        </w:rPr>
      </w:pPr>
    </w:p>
    <w:p w14:paraId="29741535">
      <w:pPr>
        <w:spacing w:line="460" w:lineRule="exact"/>
        <w:rPr>
          <w:sz w:val="24"/>
        </w:rPr>
      </w:pPr>
      <w:r>
        <w:rPr>
          <w:sz w:val="24"/>
        </w:rPr>
        <w:t>项目名称：</w:t>
      </w:r>
      <w:r>
        <w:rPr>
          <w:sz w:val="24"/>
          <w:u w:val="single"/>
        </w:rPr>
        <w:t xml:space="preserve">                    </w:t>
      </w:r>
    </w:p>
    <w:p w14:paraId="7A36707D">
      <w:pPr>
        <w:spacing w:line="460" w:lineRule="exact"/>
        <w:rPr>
          <w:sz w:val="24"/>
        </w:rPr>
      </w:pPr>
      <w:r>
        <w:rPr>
          <w:sz w:val="24"/>
        </w:rPr>
        <w:t>项目编号：</w:t>
      </w:r>
      <w:r>
        <w:rPr>
          <w:sz w:val="24"/>
          <w:u w:val="single"/>
        </w:rPr>
        <w:t xml:space="preserve">                    </w:t>
      </w:r>
    </w:p>
    <w:p w14:paraId="06B38F61">
      <w:pPr>
        <w:spacing w:line="460" w:lineRule="exact"/>
        <w:rPr>
          <w:sz w:val="24"/>
          <w:u w:val="single"/>
        </w:rPr>
      </w:pPr>
      <w:r>
        <w:rPr>
          <w:sz w:val="24"/>
        </w:rPr>
        <w:t>包号：</w:t>
      </w:r>
      <w:r>
        <w:rPr>
          <w:sz w:val="24"/>
          <w:u w:val="single"/>
        </w:rPr>
        <w:t xml:space="preserve">                        </w:t>
      </w:r>
    </w:p>
    <w:p w14:paraId="26D127DB">
      <w:pPr>
        <w:spacing w:line="460" w:lineRule="exact"/>
        <w:rPr>
          <w:sz w:val="24"/>
          <w:szCs w:val="24"/>
          <w:u w:val="single"/>
        </w:rPr>
      </w:pPr>
    </w:p>
    <w:p w14:paraId="6FE8D9C8">
      <w:pPr>
        <w:spacing w:line="360" w:lineRule="auto"/>
        <w:ind w:firstLine="480"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以上服务、人员及设备符合上述规定的证明文件。除下表列出的偏离外，与采购文件技术要求完全一致，并承担相应的法律责任。</w:t>
      </w:r>
    </w:p>
    <w:tbl>
      <w:tblPr>
        <w:tblStyle w:val="34"/>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33B0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5F1B226">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68C1E755">
            <w:pPr>
              <w:widowControl/>
              <w:snapToGrid w:val="0"/>
              <w:jc w:val="center"/>
              <w:rPr>
                <w:kern w:val="0"/>
                <w:sz w:val="24"/>
                <w:szCs w:val="24"/>
              </w:rPr>
            </w:pPr>
            <w:r>
              <w:rPr>
                <w:rFonts w:hint="eastAsia" w:ascii="宋体" w:hAnsi="宋体"/>
                <w:kern w:val="0"/>
                <w:sz w:val="24"/>
                <w:szCs w:val="24"/>
              </w:rPr>
              <w:t>采购文件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365BCA9E">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3F644978">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06BC2A75">
            <w:pPr>
              <w:widowControl/>
              <w:snapToGrid w:val="0"/>
              <w:jc w:val="center"/>
              <w:rPr>
                <w:kern w:val="0"/>
                <w:sz w:val="24"/>
                <w:szCs w:val="24"/>
              </w:rPr>
            </w:pPr>
            <w:r>
              <w:rPr>
                <w:rFonts w:ascii="宋体" w:hAnsi="宋体"/>
                <w:kern w:val="0"/>
                <w:sz w:val="24"/>
                <w:szCs w:val="24"/>
              </w:rPr>
              <w:t>备注</w:t>
            </w:r>
          </w:p>
        </w:tc>
      </w:tr>
      <w:tr w14:paraId="3758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8E2C1B1">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F033C8E">
            <w:pPr>
              <w:widowControl/>
              <w:snapToGrid w:val="0"/>
              <w:jc w:val="center"/>
              <w:rPr>
                <w:kern w:val="0"/>
                <w:sz w:val="24"/>
                <w:szCs w:val="24"/>
              </w:rPr>
            </w:pPr>
            <w:r>
              <w:rPr>
                <w:rFonts w:hint="eastAsia"/>
                <w:kern w:val="0"/>
                <w:sz w:val="24"/>
                <w:szCs w:val="24"/>
              </w:rPr>
              <w:t>此表仅体现与采购文件技术要求存在偏离的部分，无偏离的部分，无需填写。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31494D64">
            <w:pPr>
              <w:widowControl/>
              <w:snapToGrid w:val="0"/>
              <w:jc w:val="center"/>
              <w:rPr>
                <w:kern w:val="0"/>
                <w:sz w:val="24"/>
                <w:szCs w:val="24"/>
              </w:rPr>
            </w:pPr>
            <w:r>
              <w:rPr>
                <w:rFonts w:hint="eastAsia"/>
                <w:kern w:val="0"/>
                <w:sz w:val="24"/>
                <w:szCs w:val="24"/>
              </w:rPr>
              <w:t>此表仅体现与采购文件技术要求存在偏离的部分，无偏离的部分，无需填写。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0DD9EBAE">
            <w:pPr>
              <w:widowControl/>
              <w:snapToGrid w:val="0"/>
              <w:jc w:val="center"/>
              <w:rPr>
                <w:kern w:val="0"/>
                <w:sz w:val="24"/>
                <w:szCs w:val="24"/>
              </w:rPr>
            </w:pPr>
            <w:r>
              <w:rPr>
                <w:rFonts w:hint="eastAsia"/>
                <w:kern w:val="0"/>
                <w:sz w:val="24"/>
                <w:szCs w:val="24"/>
              </w:rPr>
              <w:t>此表仅体现与采购文件技术要求存在偏离的部分，无偏离的部分，无需填写。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5F5C06C1">
            <w:pPr>
              <w:widowControl/>
              <w:snapToGrid w:val="0"/>
              <w:jc w:val="center"/>
              <w:rPr>
                <w:kern w:val="0"/>
                <w:sz w:val="24"/>
                <w:szCs w:val="24"/>
              </w:rPr>
            </w:pPr>
          </w:p>
        </w:tc>
      </w:tr>
      <w:tr w14:paraId="2922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702C76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2FD474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F5C1983">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9C70237">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FBC992A">
            <w:pPr>
              <w:widowControl/>
              <w:snapToGrid w:val="0"/>
              <w:jc w:val="center"/>
              <w:rPr>
                <w:kern w:val="0"/>
                <w:sz w:val="24"/>
                <w:szCs w:val="24"/>
              </w:rPr>
            </w:pPr>
          </w:p>
        </w:tc>
      </w:tr>
      <w:tr w14:paraId="5EDE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FE66D3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07691FD">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FCC9F04">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5909F83">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E7CB479">
            <w:pPr>
              <w:widowControl/>
              <w:snapToGrid w:val="0"/>
              <w:jc w:val="center"/>
              <w:rPr>
                <w:kern w:val="0"/>
                <w:sz w:val="24"/>
                <w:szCs w:val="24"/>
              </w:rPr>
            </w:pPr>
          </w:p>
        </w:tc>
      </w:tr>
      <w:tr w14:paraId="18F0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DBFD08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81EF1D9">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663ECDB">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7AAD53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081801FB">
            <w:pPr>
              <w:widowControl/>
              <w:snapToGrid w:val="0"/>
              <w:jc w:val="center"/>
              <w:rPr>
                <w:kern w:val="0"/>
                <w:sz w:val="24"/>
                <w:szCs w:val="24"/>
              </w:rPr>
            </w:pPr>
          </w:p>
        </w:tc>
      </w:tr>
      <w:tr w14:paraId="38D7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4E879C9">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768A12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470D678">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59C4045F">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867D25A">
            <w:pPr>
              <w:widowControl/>
              <w:snapToGrid w:val="0"/>
              <w:jc w:val="center"/>
              <w:rPr>
                <w:kern w:val="0"/>
                <w:sz w:val="24"/>
                <w:szCs w:val="24"/>
              </w:rPr>
            </w:pPr>
          </w:p>
        </w:tc>
      </w:tr>
    </w:tbl>
    <w:p w14:paraId="6E8A3249">
      <w:pPr>
        <w:spacing w:line="360" w:lineRule="auto"/>
        <w:ind w:firstLine="480" w:firstLineChars="200"/>
        <w:rPr>
          <w:sz w:val="24"/>
          <w:szCs w:val="24"/>
        </w:rPr>
      </w:pPr>
      <w:r>
        <w:rPr>
          <w:rFonts w:ascii="宋体" w:hAnsi="宋体"/>
          <w:sz w:val="24"/>
          <w:szCs w:val="24"/>
        </w:rPr>
        <w:t>注：</w:t>
      </w:r>
    </w:p>
    <w:p w14:paraId="41E7D6C8">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此表仅体现与采购文件技术要求存在偏离的部分，无偏离的部分，无需填写。</w:t>
      </w:r>
    </w:p>
    <w:p w14:paraId="2CEC46DD">
      <w:pPr>
        <w:spacing w:line="360" w:lineRule="auto"/>
        <w:ind w:firstLine="480"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1F784DB1">
      <w:pPr>
        <w:spacing w:line="360" w:lineRule="auto"/>
        <w:ind w:firstLine="480"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采购文件</w:t>
      </w:r>
      <w:r>
        <w:rPr>
          <w:rFonts w:ascii="宋体" w:hAnsi="宋体"/>
          <w:sz w:val="24"/>
          <w:szCs w:val="24"/>
        </w:rPr>
        <w:t>要求</w:t>
      </w:r>
      <w:r>
        <w:rPr>
          <w:rFonts w:hint="eastAsia"/>
          <w:sz w:val="24"/>
          <w:szCs w:val="24"/>
        </w:rPr>
        <w:t>”</w:t>
      </w:r>
      <w:r>
        <w:rPr>
          <w:rFonts w:ascii="宋体" w:hAnsi="宋体"/>
          <w:sz w:val="24"/>
          <w:szCs w:val="24"/>
        </w:rPr>
        <w:t>指采购文件中规定的具体要求，“响应应答”指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采购文件</w:t>
      </w:r>
      <w:r>
        <w:rPr>
          <w:rFonts w:ascii="宋体" w:hAnsi="宋体"/>
          <w:sz w:val="24"/>
          <w:szCs w:val="24"/>
        </w:rPr>
        <w:t>中规定的具体要求与</w:t>
      </w:r>
      <w:r>
        <w:rPr>
          <w:rFonts w:hint="eastAsia" w:ascii="宋体" w:hAnsi="宋体"/>
          <w:sz w:val="24"/>
          <w:szCs w:val="24"/>
        </w:rPr>
        <w:t>响应</w:t>
      </w:r>
      <w:r>
        <w:rPr>
          <w:rFonts w:ascii="宋体" w:hAnsi="宋体"/>
          <w:sz w:val="24"/>
          <w:szCs w:val="24"/>
        </w:rPr>
        <w:t>文件的具体内容的不同之处。</w:t>
      </w:r>
    </w:p>
    <w:p w14:paraId="44E10C96">
      <w:pPr>
        <w:spacing w:line="360" w:lineRule="auto"/>
        <w:rPr>
          <w:sz w:val="24"/>
        </w:rPr>
      </w:pPr>
    </w:p>
    <w:p w14:paraId="73086E90">
      <w:pPr>
        <w:spacing w:line="400" w:lineRule="exact"/>
        <w:ind w:firstLine="4080" w:firstLineChars="1700"/>
        <w:rPr>
          <w:sz w:val="24"/>
        </w:rPr>
      </w:pPr>
      <w:r>
        <w:rPr>
          <w:sz w:val="24"/>
        </w:rPr>
        <w:t>供应商名称：</w:t>
      </w:r>
    </w:p>
    <w:p w14:paraId="66ADC009">
      <w:pPr>
        <w:spacing w:line="400" w:lineRule="exact"/>
        <w:ind w:firstLine="4080" w:firstLineChars="1700"/>
        <w:rPr>
          <w:sz w:val="24"/>
        </w:rPr>
      </w:pPr>
    </w:p>
    <w:p w14:paraId="76F26AF7">
      <w:pPr>
        <w:tabs>
          <w:tab w:val="left" w:pos="360"/>
        </w:tabs>
        <w:spacing w:line="400" w:lineRule="exact"/>
        <w:ind w:firstLine="4080" w:firstLineChars="1700"/>
        <w:jc w:val="lef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ED9F8C4">
      <w:pPr>
        <w:widowControl/>
        <w:jc w:val="left"/>
        <w:rPr>
          <w:sz w:val="24"/>
        </w:rPr>
      </w:pPr>
      <w:r>
        <w:rPr>
          <w:sz w:val="24"/>
        </w:rPr>
        <w:br w:type="page"/>
      </w:r>
    </w:p>
    <w:p w14:paraId="6FBBC99B">
      <w:pPr>
        <w:tabs>
          <w:tab w:val="left" w:pos="360"/>
        </w:tabs>
        <w:spacing w:line="560" w:lineRule="exact"/>
        <w:jc w:val="left"/>
        <w:rPr>
          <w:b/>
          <w:sz w:val="24"/>
        </w:rPr>
      </w:pPr>
      <w:r>
        <w:rPr>
          <w:b/>
          <w:sz w:val="24"/>
        </w:rPr>
        <w:t>附件</w:t>
      </w:r>
      <w:r>
        <w:rPr>
          <w:rFonts w:hint="eastAsia"/>
          <w:b/>
          <w:sz w:val="24"/>
        </w:rPr>
        <w:t>6</w:t>
      </w:r>
    </w:p>
    <w:p w14:paraId="22ADF303">
      <w:pPr>
        <w:spacing w:line="560" w:lineRule="exact"/>
        <w:jc w:val="center"/>
        <w:rPr>
          <w:b/>
          <w:sz w:val="24"/>
        </w:rPr>
      </w:pPr>
      <w:r>
        <w:rPr>
          <w:b/>
          <w:sz w:val="24"/>
        </w:rPr>
        <w:t>主要相关项目业绩一览表</w:t>
      </w:r>
    </w:p>
    <w:p w14:paraId="16668ACA">
      <w:pPr>
        <w:spacing w:line="460" w:lineRule="exact"/>
        <w:rPr>
          <w:sz w:val="24"/>
        </w:rPr>
      </w:pPr>
      <w:r>
        <w:rPr>
          <w:sz w:val="24"/>
        </w:rPr>
        <w:t>项目名称：</w:t>
      </w:r>
      <w:r>
        <w:rPr>
          <w:sz w:val="24"/>
          <w:u w:val="single"/>
        </w:rPr>
        <w:t xml:space="preserve">                    </w:t>
      </w:r>
    </w:p>
    <w:p w14:paraId="50ED0C51">
      <w:pPr>
        <w:spacing w:line="460" w:lineRule="exact"/>
        <w:rPr>
          <w:sz w:val="24"/>
        </w:rPr>
      </w:pPr>
      <w:r>
        <w:rPr>
          <w:sz w:val="24"/>
        </w:rPr>
        <w:t>项目编号：</w:t>
      </w:r>
      <w:r>
        <w:rPr>
          <w:sz w:val="24"/>
          <w:u w:val="single"/>
        </w:rPr>
        <w:t xml:space="preserve">                    </w:t>
      </w:r>
    </w:p>
    <w:p w14:paraId="58828FFA">
      <w:pPr>
        <w:spacing w:line="460" w:lineRule="exact"/>
        <w:rPr>
          <w:sz w:val="24"/>
          <w:u w:val="single"/>
        </w:rPr>
      </w:pPr>
      <w:r>
        <w:rPr>
          <w:sz w:val="24"/>
        </w:rPr>
        <w:t>包号：</w:t>
      </w:r>
      <w:r>
        <w:rPr>
          <w:sz w:val="24"/>
          <w:u w:val="single"/>
        </w:rPr>
        <w:t xml:space="preserve">                        </w:t>
      </w:r>
    </w:p>
    <w:p w14:paraId="2DF2BA2D">
      <w:pPr>
        <w:spacing w:line="560" w:lineRule="exact"/>
        <w:jc w:val="center"/>
        <w:rPr>
          <w:b/>
          <w:sz w:val="24"/>
        </w:rPr>
      </w:pPr>
    </w:p>
    <w:tbl>
      <w:tblPr>
        <w:tblStyle w:val="34"/>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0DB5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9BDA607">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739BA45">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09C942BD">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4E1AD5C1">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005CE8EC">
            <w:pPr>
              <w:snapToGrid w:val="0"/>
              <w:jc w:val="center"/>
              <w:rPr>
                <w:sz w:val="24"/>
              </w:rPr>
            </w:pPr>
            <w:r>
              <w:rPr>
                <w:sz w:val="24"/>
              </w:rPr>
              <w:t>项目起止时间</w:t>
            </w:r>
          </w:p>
        </w:tc>
      </w:tr>
      <w:tr w14:paraId="458F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8889BB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6D5B61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AFC01B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83F350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FEC040B">
            <w:pPr>
              <w:snapToGrid w:val="0"/>
              <w:jc w:val="center"/>
              <w:rPr>
                <w:sz w:val="24"/>
              </w:rPr>
            </w:pPr>
          </w:p>
        </w:tc>
      </w:tr>
      <w:tr w14:paraId="1DF3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9ED438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0876F3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9387D9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D936BB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35323ED">
            <w:pPr>
              <w:snapToGrid w:val="0"/>
              <w:jc w:val="center"/>
              <w:rPr>
                <w:sz w:val="24"/>
              </w:rPr>
            </w:pPr>
          </w:p>
        </w:tc>
      </w:tr>
      <w:tr w14:paraId="1D40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44919F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FFBD98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4CBCAA1">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67EC52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63E8A9">
            <w:pPr>
              <w:snapToGrid w:val="0"/>
              <w:jc w:val="center"/>
              <w:rPr>
                <w:sz w:val="24"/>
              </w:rPr>
            </w:pPr>
          </w:p>
        </w:tc>
      </w:tr>
      <w:tr w14:paraId="47CF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5F07A8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796D13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669274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5311255">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23206C5">
            <w:pPr>
              <w:snapToGrid w:val="0"/>
              <w:jc w:val="center"/>
              <w:rPr>
                <w:sz w:val="24"/>
              </w:rPr>
            </w:pPr>
          </w:p>
        </w:tc>
      </w:tr>
      <w:tr w14:paraId="5D52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E05A26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F9DD09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711E20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F86CDC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482B354">
            <w:pPr>
              <w:snapToGrid w:val="0"/>
              <w:jc w:val="center"/>
              <w:rPr>
                <w:sz w:val="24"/>
              </w:rPr>
            </w:pPr>
          </w:p>
        </w:tc>
      </w:tr>
      <w:tr w14:paraId="4713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29B875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8A9E34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1914D6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A5460C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EEA85F7">
            <w:pPr>
              <w:snapToGrid w:val="0"/>
              <w:jc w:val="center"/>
              <w:rPr>
                <w:sz w:val="24"/>
              </w:rPr>
            </w:pPr>
          </w:p>
        </w:tc>
      </w:tr>
      <w:tr w14:paraId="6A6B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AE38D2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3E6282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4B09F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6D969F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7673782">
            <w:pPr>
              <w:snapToGrid w:val="0"/>
              <w:jc w:val="center"/>
              <w:rPr>
                <w:sz w:val="24"/>
              </w:rPr>
            </w:pPr>
          </w:p>
        </w:tc>
      </w:tr>
      <w:tr w14:paraId="05C9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8D756D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5B90CE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208C75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0A3BE4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A837EBA">
            <w:pPr>
              <w:snapToGrid w:val="0"/>
              <w:jc w:val="center"/>
              <w:rPr>
                <w:sz w:val="24"/>
              </w:rPr>
            </w:pPr>
          </w:p>
        </w:tc>
      </w:tr>
      <w:tr w14:paraId="0D2E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38DA0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5B5009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F5C1FB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B1AFD9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511E570">
            <w:pPr>
              <w:snapToGrid w:val="0"/>
              <w:jc w:val="center"/>
              <w:rPr>
                <w:sz w:val="24"/>
              </w:rPr>
            </w:pPr>
          </w:p>
        </w:tc>
      </w:tr>
      <w:tr w14:paraId="416B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51568A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493C8F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76C9D0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D4933D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F89F6EC">
            <w:pPr>
              <w:snapToGrid w:val="0"/>
              <w:jc w:val="center"/>
              <w:rPr>
                <w:sz w:val="24"/>
              </w:rPr>
            </w:pPr>
          </w:p>
        </w:tc>
      </w:tr>
      <w:tr w14:paraId="2009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9B7BC1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B93B30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099738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358AD0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156171B">
            <w:pPr>
              <w:snapToGrid w:val="0"/>
              <w:jc w:val="center"/>
              <w:rPr>
                <w:sz w:val="24"/>
              </w:rPr>
            </w:pPr>
          </w:p>
        </w:tc>
      </w:tr>
    </w:tbl>
    <w:p w14:paraId="2A7E4583">
      <w:pPr>
        <w:spacing w:line="560" w:lineRule="exact"/>
        <w:jc w:val="center"/>
        <w:rPr>
          <w:sz w:val="24"/>
        </w:rPr>
      </w:pPr>
    </w:p>
    <w:p w14:paraId="190FC31A">
      <w:pPr>
        <w:spacing w:line="560" w:lineRule="exact"/>
        <w:rPr>
          <w:sz w:val="24"/>
        </w:rPr>
      </w:pPr>
      <w:r>
        <w:rPr>
          <w:sz w:val="24"/>
        </w:rPr>
        <w:t>备注：供应商所列业绩应按</w:t>
      </w:r>
      <w:r>
        <w:rPr>
          <w:rFonts w:hint="eastAsia"/>
          <w:sz w:val="24"/>
        </w:rPr>
        <w:t>单一来源采购文件要求“供应商实施能力”</w:t>
      </w:r>
      <w:r>
        <w:rPr>
          <w:sz w:val="24"/>
        </w:rPr>
        <w:t>要求将证明材料按顺序附后。</w:t>
      </w:r>
    </w:p>
    <w:p w14:paraId="5EAC2A5C">
      <w:pPr>
        <w:spacing w:line="560" w:lineRule="exact"/>
        <w:rPr>
          <w:sz w:val="24"/>
        </w:rPr>
      </w:pPr>
    </w:p>
    <w:p w14:paraId="54C8C5DD">
      <w:pPr>
        <w:spacing w:line="360" w:lineRule="auto"/>
        <w:ind w:firstLine="4080" w:firstLineChars="1700"/>
        <w:rPr>
          <w:sz w:val="24"/>
        </w:rPr>
      </w:pPr>
      <w:r>
        <w:rPr>
          <w:sz w:val="24"/>
        </w:rPr>
        <w:t>供应商名称：</w:t>
      </w:r>
    </w:p>
    <w:p w14:paraId="0A313653">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C3B2FDF">
      <w:pPr>
        <w:spacing w:line="460" w:lineRule="exact"/>
        <w:ind w:left="192" w:firstLine="3948" w:firstLineChars="1645"/>
        <w:rPr>
          <w:sz w:val="24"/>
        </w:rPr>
      </w:pPr>
    </w:p>
    <w:p w14:paraId="33BA8824">
      <w:pPr>
        <w:spacing w:line="460" w:lineRule="exact"/>
        <w:ind w:left="-178" w:leftChars="-85" w:firstLine="240" w:firstLineChars="100"/>
        <w:rPr>
          <w:rFonts w:ascii="宋体" w:hAnsi="宋体"/>
          <w:sz w:val="24"/>
          <w:szCs w:val="24"/>
        </w:rPr>
      </w:pPr>
    </w:p>
    <w:p w14:paraId="21F5B808">
      <w:pPr>
        <w:spacing w:line="460" w:lineRule="exact"/>
        <w:rPr>
          <w:sz w:val="24"/>
        </w:rPr>
      </w:pPr>
    </w:p>
    <w:p w14:paraId="0800A714">
      <w:pPr>
        <w:widowControl/>
        <w:jc w:val="left"/>
        <w:rPr>
          <w:sz w:val="24"/>
        </w:rPr>
      </w:pPr>
      <w:r>
        <w:rPr>
          <w:sz w:val="24"/>
        </w:rPr>
        <w:br w:type="page"/>
      </w:r>
    </w:p>
    <w:p w14:paraId="3FD05DCD">
      <w:pPr>
        <w:tabs>
          <w:tab w:val="left" w:pos="360"/>
        </w:tabs>
        <w:spacing w:line="560" w:lineRule="exact"/>
        <w:jc w:val="left"/>
        <w:rPr>
          <w:b/>
          <w:sz w:val="24"/>
        </w:rPr>
      </w:pPr>
      <w:r>
        <w:rPr>
          <w:rFonts w:hint="eastAsia"/>
          <w:b/>
          <w:sz w:val="24"/>
        </w:rPr>
        <w:t>附件7</w:t>
      </w:r>
    </w:p>
    <w:p w14:paraId="182A377B">
      <w:pPr>
        <w:autoSpaceDE w:val="0"/>
        <w:autoSpaceDN w:val="0"/>
        <w:spacing w:line="480" w:lineRule="auto"/>
        <w:jc w:val="center"/>
        <w:rPr>
          <w:sz w:val="24"/>
          <w:szCs w:val="24"/>
        </w:rPr>
      </w:pPr>
      <w:r>
        <w:rPr>
          <w:b/>
          <w:sz w:val="24"/>
          <w:szCs w:val="24"/>
        </w:rPr>
        <w:t>中小企业声明函（服务）</w:t>
      </w:r>
    </w:p>
    <w:p w14:paraId="008AFB7C">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7408FF0A">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软件</w:t>
      </w:r>
      <w:r>
        <w:rPr>
          <w:sz w:val="24"/>
          <w:szCs w:val="24"/>
          <w:u w:val="single"/>
        </w:rPr>
        <w:t xml:space="preserve">和信息服务业  </w:t>
      </w:r>
      <w:r>
        <w:rPr>
          <w:sz w:val="24"/>
          <w:szCs w:val="24"/>
        </w:rPr>
        <w:t>；承接企业为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0D2E0EC">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1A02ACA7">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0F349B87">
      <w:pPr>
        <w:autoSpaceDE w:val="0"/>
        <w:autoSpaceDN w:val="0"/>
        <w:spacing w:line="500" w:lineRule="exact"/>
        <w:ind w:left="3840"/>
        <w:jc w:val="left"/>
        <w:rPr>
          <w:sz w:val="24"/>
          <w:szCs w:val="24"/>
        </w:rPr>
      </w:pPr>
      <w:r>
        <w:rPr>
          <w:rFonts w:hint="eastAsia"/>
          <w:sz w:val="24"/>
          <w:szCs w:val="24"/>
        </w:rPr>
        <w:t>供应商</w:t>
      </w:r>
      <w:r>
        <w:rPr>
          <w:sz w:val="24"/>
          <w:szCs w:val="24"/>
        </w:rPr>
        <w:t>名称：</w:t>
      </w:r>
    </w:p>
    <w:p w14:paraId="693CEC49">
      <w:pPr>
        <w:autoSpaceDE w:val="0"/>
        <w:autoSpaceDN w:val="0"/>
        <w:spacing w:line="500" w:lineRule="exact"/>
        <w:ind w:left="3840"/>
        <w:jc w:val="left"/>
        <w:rPr>
          <w:sz w:val="32"/>
        </w:rPr>
      </w:pPr>
      <w:r>
        <w:rPr>
          <w:sz w:val="24"/>
          <w:szCs w:val="24"/>
        </w:rPr>
        <w:t>日期：</w:t>
      </w:r>
    </w:p>
    <w:p w14:paraId="04915B9C">
      <w:pPr>
        <w:spacing w:line="360" w:lineRule="auto"/>
        <w:ind w:right="84" w:firstLine="240" w:firstLineChars="100"/>
        <w:rPr>
          <w:b/>
          <w:sz w:val="24"/>
          <w:szCs w:val="24"/>
        </w:rPr>
      </w:pPr>
      <w:r>
        <w:rPr>
          <w:b/>
          <w:sz w:val="24"/>
          <w:szCs w:val="24"/>
        </w:rPr>
        <w:t>注：</w:t>
      </w:r>
    </w:p>
    <w:p w14:paraId="3EA47903">
      <w:pPr>
        <w:spacing w:line="360" w:lineRule="auto"/>
        <w:ind w:firstLine="480" w:firstLineChars="200"/>
        <w:rPr>
          <w:b/>
          <w:sz w:val="24"/>
          <w:szCs w:val="24"/>
        </w:rPr>
      </w:pPr>
      <w:r>
        <w:rPr>
          <w:b/>
          <w:sz w:val="24"/>
          <w:szCs w:val="24"/>
        </w:rPr>
        <w:t>1.标的名称须按照采购文件中明确的标的名称进行填写；所属行业须按照采购文件中明确的所属行业进行填写。</w:t>
      </w:r>
    </w:p>
    <w:p w14:paraId="4CC797AC">
      <w:pPr>
        <w:spacing w:line="360" w:lineRule="auto"/>
        <w:ind w:firstLine="480" w:firstLineChars="200"/>
        <w:rPr>
          <w:b/>
          <w:sz w:val="24"/>
          <w:szCs w:val="24"/>
        </w:rPr>
      </w:pPr>
      <w:r>
        <w:rPr>
          <w:b/>
          <w:sz w:val="24"/>
          <w:szCs w:val="24"/>
        </w:rPr>
        <w:t>2.从业人员、营业收入、资产总额填报上一年度数据，无上一年度数据的新成立企业可不填报。</w:t>
      </w:r>
    </w:p>
    <w:p w14:paraId="5721D9BF">
      <w:pPr>
        <w:spacing w:line="360" w:lineRule="auto"/>
        <w:ind w:firstLine="480" w:firstLineChars="200"/>
        <w:rPr>
          <w:b/>
          <w:sz w:val="24"/>
          <w:szCs w:val="21"/>
        </w:rPr>
      </w:pPr>
      <w:r>
        <w:rPr>
          <w:b/>
          <w:sz w:val="24"/>
          <w:szCs w:val="21"/>
        </w:rPr>
        <w:t>3.中标（成交）供应商享受中小企业扶持政策的，将随中标（成交）结果同时公告其《中小企业声明函》，接受社会监督。</w:t>
      </w:r>
    </w:p>
    <w:p w14:paraId="54FCE720">
      <w:pPr>
        <w:widowControl/>
        <w:jc w:val="left"/>
        <w:rPr>
          <w:b/>
          <w:kern w:val="0"/>
          <w:sz w:val="24"/>
          <w:szCs w:val="21"/>
        </w:rPr>
      </w:pPr>
      <w:r>
        <w:rPr>
          <w:b/>
          <w:kern w:val="0"/>
          <w:sz w:val="24"/>
          <w:szCs w:val="21"/>
        </w:rPr>
        <w:br w:type="page"/>
      </w:r>
    </w:p>
    <w:p w14:paraId="1B8DC829">
      <w:pPr>
        <w:autoSpaceDN w:val="0"/>
        <w:spacing w:line="360" w:lineRule="auto"/>
        <w:jc w:val="left"/>
        <w:rPr>
          <w:b/>
          <w:bCs/>
          <w:sz w:val="24"/>
        </w:rPr>
      </w:pPr>
      <w:r>
        <w:rPr>
          <w:rFonts w:hint="eastAsia"/>
          <w:b/>
          <w:kern w:val="0"/>
          <w:sz w:val="24"/>
          <w:szCs w:val="21"/>
        </w:rPr>
        <w:t>若不是残疾人福利性单位，响应文件中可不提供此声明函</w:t>
      </w:r>
    </w:p>
    <w:p w14:paraId="3040F046">
      <w:pPr>
        <w:autoSpaceDN w:val="0"/>
        <w:spacing w:line="360" w:lineRule="auto"/>
        <w:jc w:val="center"/>
        <w:rPr>
          <w:b/>
          <w:bCs/>
          <w:sz w:val="24"/>
        </w:rPr>
      </w:pPr>
    </w:p>
    <w:p w14:paraId="7B817D20">
      <w:pPr>
        <w:snapToGrid w:val="0"/>
        <w:spacing w:line="360" w:lineRule="auto"/>
        <w:jc w:val="center"/>
        <w:rPr>
          <w:b/>
          <w:bCs/>
          <w:sz w:val="24"/>
        </w:rPr>
      </w:pPr>
      <w:r>
        <w:rPr>
          <w:rFonts w:hint="eastAsia"/>
          <w:b/>
          <w:bCs/>
          <w:sz w:val="24"/>
        </w:rPr>
        <w:t>残疾人福利性单位声明函</w:t>
      </w:r>
    </w:p>
    <w:p w14:paraId="2CF473EE">
      <w:pPr>
        <w:snapToGrid w:val="0"/>
        <w:spacing w:line="360" w:lineRule="auto"/>
        <w:ind w:firstLine="480" w:firstLineChars="200"/>
        <w:jc w:val="left"/>
        <w:rPr>
          <w:b/>
          <w:bCs/>
          <w:sz w:val="24"/>
        </w:rPr>
      </w:pPr>
    </w:p>
    <w:p w14:paraId="71ACBCA2">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B52531">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14:paraId="322AF7BB">
      <w:pPr>
        <w:snapToGrid w:val="0"/>
        <w:spacing w:line="360" w:lineRule="auto"/>
        <w:ind w:firstLine="480" w:firstLineChars="200"/>
        <w:jc w:val="left"/>
        <w:rPr>
          <w:bCs/>
          <w:sz w:val="24"/>
        </w:rPr>
      </w:pPr>
    </w:p>
    <w:p w14:paraId="017810A0">
      <w:pPr>
        <w:snapToGrid w:val="0"/>
        <w:spacing w:line="360" w:lineRule="auto"/>
        <w:ind w:firstLine="480" w:firstLineChars="200"/>
        <w:jc w:val="left"/>
        <w:rPr>
          <w:bCs/>
          <w:sz w:val="24"/>
        </w:rPr>
      </w:pPr>
    </w:p>
    <w:p w14:paraId="798974EF">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14:paraId="4C63D396">
      <w:pPr>
        <w:snapToGrid w:val="0"/>
        <w:spacing w:line="360" w:lineRule="auto"/>
        <w:ind w:firstLine="480" w:firstLineChars="200"/>
        <w:jc w:val="left"/>
        <w:rPr>
          <w:bCs/>
          <w:sz w:val="24"/>
        </w:rPr>
      </w:pPr>
    </w:p>
    <w:p w14:paraId="214C7AB2">
      <w:pPr>
        <w:snapToGrid w:val="0"/>
        <w:spacing w:line="360" w:lineRule="auto"/>
        <w:ind w:firstLine="480" w:firstLineChars="200"/>
        <w:jc w:val="left"/>
        <w:rPr>
          <w:sz w:val="24"/>
          <w:szCs w:val="21"/>
        </w:rPr>
      </w:pPr>
      <w:r>
        <w:rPr>
          <w:rFonts w:hint="eastAsia"/>
          <w:bCs/>
          <w:sz w:val="24"/>
        </w:rPr>
        <w:t xml:space="preserve">               日  期：</w:t>
      </w:r>
    </w:p>
    <w:p w14:paraId="19705855">
      <w:pPr>
        <w:snapToGrid w:val="0"/>
        <w:spacing w:line="360" w:lineRule="auto"/>
        <w:ind w:firstLine="480" w:firstLineChars="200"/>
        <w:jc w:val="left"/>
        <w:rPr>
          <w:sz w:val="24"/>
          <w:szCs w:val="21"/>
        </w:rPr>
      </w:pPr>
    </w:p>
    <w:p w14:paraId="295A7BE2">
      <w:pPr>
        <w:snapToGrid w:val="0"/>
        <w:spacing w:line="360" w:lineRule="auto"/>
        <w:ind w:firstLine="480" w:firstLineChars="200"/>
        <w:rPr>
          <w:sz w:val="24"/>
          <w:szCs w:val="21"/>
        </w:rPr>
      </w:pPr>
      <w:r>
        <w:rPr>
          <w:sz w:val="24"/>
          <w:szCs w:val="21"/>
        </w:rPr>
        <w:t>注：</w:t>
      </w:r>
    </w:p>
    <w:p w14:paraId="724A77B6">
      <w:pPr>
        <w:snapToGrid w:val="0"/>
        <w:spacing w:line="360" w:lineRule="auto"/>
        <w:ind w:firstLine="480" w:firstLineChars="200"/>
        <w:rPr>
          <w:b/>
          <w:sz w:val="24"/>
          <w:szCs w:val="21"/>
        </w:rPr>
      </w:pPr>
      <w:r>
        <w:rPr>
          <w:b/>
          <w:sz w:val="24"/>
          <w:szCs w:val="21"/>
        </w:rPr>
        <w:t>中标（成交）供应商为残疾人福利性单位的，将随中标（成交）结果同时公告其《残疾人福利性单位声明函》，接受社会监督。</w:t>
      </w:r>
    </w:p>
    <w:p w14:paraId="46E437DD">
      <w:pPr>
        <w:snapToGrid w:val="0"/>
        <w:spacing w:line="360" w:lineRule="auto"/>
        <w:ind w:firstLine="480" w:firstLineChars="200"/>
        <w:rPr>
          <w:b/>
          <w:sz w:val="24"/>
          <w:szCs w:val="21"/>
        </w:rPr>
      </w:pPr>
      <w:r>
        <w:rPr>
          <w:b/>
          <w:kern w:val="0"/>
          <w:sz w:val="24"/>
          <w:szCs w:val="21"/>
        </w:rPr>
        <w:t>若不是残疾人福利性单位，响应文件中可不提供此声明函。</w:t>
      </w:r>
    </w:p>
    <w:p w14:paraId="77F15BD9">
      <w:pPr>
        <w:widowControl/>
        <w:jc w:val="left"/>
        <w:rPr>
          <w:b/>
          <w:sz w:val="24"/>
        </w:rPr>
      </w:pPr>
      <w:r>
        <w:rPr>
          <w:b/>
          <w:sz w:val="24"/>
        </w:rPr>
        <w:br w:type="page"/>
      </w:r>
    </w:p>
    <w:p w14:paraId="76FAC075">
      <w:pPr>
        <w:tabs>
          <w:tab w:val="left" w:pos="360"/>
        </w:tabs>
        <w:spacing w:line="560" w:lineRule="exact"/>
        <w:jc w:val="left"/>
        <w:rPr>
          <w:b/>
          <w:sz w:val="24"/>
        </w:rPr>
      </w:pPr>
      <w:r>
        <w:rPr>
          <w:rFonts w:hint="eastAsia"/>
          <w:b/>
          <w:sz w:val="24"/>
        </w:rPr>
        <w:t>附件8</w:t>
      </w:r>
    </w:p>
    <w:p w14:paraId="020A5BF9">
      <w:pPr>
        <w:spacing w:line="620" w:lineRule="exact"/>
        <w:jc w:val="center"/>
        <w:rPr>
          <w:b/>
          <w:sz w:val="24"/>
        </w:rPr>
      </w:pPr>
      <w:r>
        <w:rPr>
          <w:rFonts w:hint="eastAsia"/>
          <w:b/>
          <w:sz w:val="24"/>
        </w:rPr>
        <w:t>供应商拥有的与项目相关的专利技术、专有技术情况</w:t>
      </w:r>
    </w:p>
    <w:p w14:paraId="291A6F62">
      <w:pPr>
        <w:spacing w:line="620" w:lineRule="exact"/>
        <w:rPr>
          <w:b/>
          <w:sz w:val="24"/>
        </w:rPr>
      </w:pPr>
    </w:p>
    <w:p w14:paraId="0841655D">
      <w:pPr>
        <w:spacing w:line="620" w:lineRule="exact"/>
        <w:rPr>
          <w:b/>
          <w:sz w:val="24"/>
        </w:rPr>
      </w:pPr>
    </w:p>
    <w:p w14:paraId="44B7DC73">
      <w:pPr>
        <w:spacing w:line="620" w:lineRule="exact"/>
        <w:rPr>
          <w:b/>
          <w:sz w:val="24"/>
        </w:rPr>
      </w:pPr>
    </w:p>
    <w:p w14:paraId="5C34294D">
      <w:pPr>
        <w:spacing w:line="620" w:lineRule="exact"/>
        <w:rPr>
          <w:b/>
          <w:sz w:val="24"/>
        </w:rPr>
      </w:pPr>
    </w:p>
    <w:p w14:paraId="050A333F">
      <w:pPr>
        <w:spacing w:line="620" w:lineRule="exact"/>
        <w:rPr>
          <w:b/>
          <w:sz w:val="24"/>
        </w:rPr>
      </w:pPr>
    </w:p>
    <w:p w14:paraId="20DC2134">
      <w:pPr>
        <w:spacing w:line="620" w:lineRule="exact"/>
        <w:rPr>
          <w:b/>
          <w:sz w:val="24"/>
        </w:rPr>
      </w:pPr>
    </w:p>
    <w:p w14:paraId="0AA66B41">
      <w:pPr>
        <w:spacing w:line="620" w:lineRule="exact"/>
        <w:rPr>
          <w:b/>
          <w:sz w:val="24"/>
        </w:rPr>
      </w:pPr>
    </w:p>
    <w:p w14:paraId="3ED0D7A5">
      <w:pPr>
        <w:spacing w:line="620" w:lineRule="exact"/>
        <w:rPr>
          <w:b/>
          <w:sz w:val="24"/>
        </w:rPr>
      </w:pPr>
    </w:p>
    <w:p w14:paraId="77AE6524">
      <w:pPr>
        <w:spacing w:line="620" w:lineRule="exact"/>
        <w:rPr>
          <w:b/>
          <w:sz w:val="24"/>
        </w:rPr>
      </w:pPr>
    </w:p>
    <w:p w14:paraId="476D1C16">
      <w:pPr>
        <w:spacing w:line="620" w:lineRule="exact"/>
        <w:rPr>
          <w:b/>
          <w:sz w:val="24"/>
        </w:rPr>
      </w:pPr>
    </w:p>
    <w:p w14:paraId="3A78D6BC">
      <w:pPr>
        <w:spacing w:line="620" w:lineRule="exact"/>
        <w:rPr>
          <w:b/>
          <w:sz w:val="24"/>
        </w:rPr>
      </w:pPr>
    </w:p>
    <w:p w14:paraId="0BE9E3E2">
      <w:pPr>
        <w:spacing w:line="620" w:lineRule="exact"/>
        <w:rPr>
          <w:b/>
          <w:sz w:val="24"/>
        </w:rPr>
      </w:pPr>
    </w:p>
    <w:p w14:paraId="27A643DB">
      <w:pPr>
        <w:spacing w:line="620" w:lineRule="exact"/>
        <w:rPr>
          <w:b/>
          <w:sz w:val="24"/>
        </w:rPr>
      </w:pPr>
    </w:p>
    <w:p w14:paraId="1C61842D">
      <w:pPr>
        <w:spacing w:line="620" w:lineRule="exact"/>
        <w:rPr>
          <w:b/>
          <w:sz w:val="24"/>
        </w:rPr>
      </w:pPr>
    </w:p>
    <w:p w14:paraId="4BD830D9">
      <w:pPr>
        <w:spacing w:line="620" w:lineRule="exact"/>
        <w:rPr>
          <w:b/>
          <w:sz w:val="24"/>
        </w:rPr>
      </w:pPr>
    </w:p>
    <w:p w14:paraId="70C434CB">
      <w:pPr>
        <w:tabs>
          <w:tab w:val="left" w:pos="360"/>
        </w:tabs>
        <w:spacing w:line="560" w:lineRule="exact"/>
        <w:ind w:right="1223"/>
        <w:jc w:val="right"/>
        <w:rPr>
          <w:b/>
          <w:sz w:val="24"/>
        </w:rPr>
      </w:pPr>
      <w:r>
        <w:rPr>
          <w:rFonts w:hint="eastAsia"/>
          <w:sz w:val="24"/>
        </w:rPr>
        <w:t>供应商</w:t>
      </w:r>
      <w:r>
        <w:rPr>
          <w:sz w:val="24"/>
        </w:rPr>
        <w:t>名称：_____________</w:t>
      </w:r>
    </w:p>
    <w:p w14:paraId="36231DA0">
      <w:pPr>
        <w:tabs>
          <w:tab w:val="left" w:pos="360"/>
        </w:tabs>
        <w:spacing w:line="560" w:lineRule="exact"/>
        <w:ind w:right="1223"/>
        <w:jc w:val="right"/>
        <w:rPr>
          <w:sz w:val="24"/>
        </w:rPr>
      </w:pPr>
      <w:r>
        <w:rPr>
          <w:rFonts w:hint="eastAsia"/>
          <w:sz w:val="24"/>
        </w:rPr>
        <w:t>日期：</w:t>
      </w:r>
      <w:r>
        <w:rPr>
          <w:kern w:val="0"/>
          <w:sz w:val="24"/>
          <w:u w:val="single"/>
        </w:rPr>
        <w:t xml:space="preserve">     </w:t>
      </w:r>
      <w:r>
        <w:rPr>
          <w:rFonts w:hint="eastAsia"/>
          <w:kern w:val="0"/>
          <w:sz w:val="24"/>
        </w:rPr>
        <w:t>年</w:t>
      </w:r>
      <w:r>
        <w:rPr>
          <w:kern w:val="0"/>
          <w:sz w:val="24"/>
          <w:u w:val="single"/>
        </w:rPr>
        <w:t xml:space="preserve">    </w:t>
      </w:r>
      <w:r>
        <w:rPr>
          <w:rFonts w:hint="eastAsia"/>
          <w:kern w:val="0"/>
          <w:sz w:val="24"/>
        </w:rPr>
        <w:t>月</w:t>
      </w:r>
      <w:r>
        <w:rPr>
          <w:kern w:val="0"/>
          <w:sz w:val="24"/>
          <w:u w:val="single"/>
        </w:rPr>
        <w:t xml:space="preserve">    </w:t>
      </w:r>
      <w:r>
        <w:rPr>
          <w:rFonts w:hint="eastAsia"/>
          <w:kern w:val="0"/>
          <w:sz w:val="24"/>
        </w:rPr>
        <w:t>日</w:t>
      </w:r>
    </w:p>
    <w:p w14:paraId="21C79B98">
      <w:pPr>
        <w:widowControl/>
        <w:jc w:val="left"/>
        <w:rPr>
          <w:b/>
          <w:sz w:val="24"/>
        </w:rPr>
      </w:pPr>
      <w:r>
        <w:rPr>
          <w:b/>
          <w:sz w:val="24"/>
        </w:rPr>
        <w:br w:type="page"/>
      </w:r>
    </w:p>
    <w:p w14:paraId="17CD69E0">
      <w:pPr>
        <w:tabs>
          <w:tab w:val="left" w:pos="360"/>
        </w:tabs>
        <w:spacing w:line="560" w:lineRule="exact"/>
        <w:jc w:val="left"/>
        <w:rPr>
          <w:b/>
          <w:bCs/>
          <w:sz w:val="24"/>
        </w:rPr>
      </w:pPr>
      <w:r>
        <w:rPr>
          <w:rFonts w:hint="eastAsia"/>
          <w:b/>
          <w:sz w:val="24"/>
        </w:rPr>
        <w:t>附件9：</w:t>
      </w:r>
      <w:r>
        <w:rPr>
          <w:rFonts w:hint="eastAsia"/>
          <w:b/>
          <w:bCs/>
          <w:sz w:val="24"/>
        </w:rPr>
        <w:t>供应商认为需要提供的其他材料</w:t>
      </w:r>
    </w:p>
    <w:p w14:paraId="367C63F1"/>
    <w:p w14:paraId="6A152BDA"/>
    <w:p w14:paraId="2489C8D6"/>
    <w:sectPr>
      <w:headerReference r:id="rId4" w:type="default"/>
      <w:footerReference r:id="rId5"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0000000000000000000"/>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Tahoma">
    <w:altName w:val="Verdana"/>
    <w:panose1 w:val="020B0604030504040204"/>
    <w:charset w:val="00"/>
    <w:family w:val="swiss"/>
    <w:pitch w:val="default"/>
    <w:sig w:usb0="00000000" w:usb1="00000000" w:usb2="00000029" w:usb3="00000000" w:csb0="000101FF" w:csb1="00000000"/>
  </w:font>
  <w:font w:name="Verdana">
    <w:panose1 w:val="020B0604030504040204"/>
    <w:charset w:val="00"/>
    <w:family w:val="auto"/>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幼圆">
    <w:altName w:val="汉仪书宋二KW"/>
    <w:panose1 w:val="02010509060101010101"/>
    <w:charset w:val="86"/>
    <w:family w:val="modern"/>
    <w:pitch w:val="default"/>
    <w:sig w:usb0="00000000" w:usb1="00000000" w:usb2="00000010" w:usb3="00000000" w:csb0="00040000" w:csb1="00000000"/>
  </w:font>
  <w:font w:name="Book Antiqua">
    <w:altName w:val="Georgia"/>
    <w:panose1 w:val="02040602050305030304"/>
    <w:charset w:val="00"/>
    <w:family w:val="roman"/>
    <w:pitch w:val="default"/>
    <w:sig w:usb0="00000000" w:usb1="00000000" w:usb2="00000000" w:usb3="00000000" w:csb0="0000009F" w:csb1="00000000"/>
  </w:font>
  <w:font w:name="楷体_GB2312">
    <w:altName w:val="汉仪楷体KW"/>
    <w:panose1 w:val="00000000000000000000"/>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E5E8">
    <w:pPr>
      <w:pStyle w:val="22"/>
      <w:jc w:val="center"/>
    </w:pPr>
    <w:r>
      <w:rPr>
        <w:rFonts w:hint="eastAsia"/>
      </w:rPr>
      <w:t>-1-</w:t>
    </w:r>
    <w:r>
      <w:rPr>
        <w:rStyle w:val="38"/>
      </w:rPr>
      <w:fldChar w:fldCharType="begin"/>
    </w:r>
    <w:r>
      <w:rPr>
        <w:rStyle w:val="38"/>
      </w:rPr>
      <w:instrText xml:space="preserve"> PAGE </w:instrText>
    </w:r>
    <w:r>
      <w:rPr>
        <w:rStyle w:val="38"/>
      </w:rPr>
      <w:fldChar w:fldCharType="separate"/>
    </w:r>
    <w:r>
      <w:rPr>
        <w:rStyle w:val="38"/>
      </w:rPr>
      <w:t>6</w:t>
    </w:r>
    <w:r>
      <w:rPr>
        <w:rStyle w:val="3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AEC3">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6B711">
    <w:pPr>
      <w:pStyle w:val="2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B05EE"/>
    <w:multiLevelType w:val="multilevel"/>
    <w:tmpl w:val="091B05EE"/>
    <w:lvl w:ilvl="0" w:tentative="0">
      <w:start w:val="1"/>
      <w:numFmt w:val="japaneseCounting"/>
      <w:pStyle w:val="95"/>
      <w:lvlText w:val="%1、"/>
      <w:lvlJc w:val="left"/>
      <w:pPr>
        <w:tabs>
          <w:tab w:val="left" w:pos="960"/>
        </w:tabs>
        <w:ind w:left="960" w:hanging="480"/>
      </w:pPr>
      <w:rPr>
        <w:rFonts w:hint="eastAsia"/>
      </w:rPr>
    </w:lvl>
    <w:lvl w:ilvl="1" w:tentative="0">
      <w:start w:val="1"/>
      <w:numFmt w:val="decimal"/>
      <w:lvlText w:val="%2、"/>
      <w:lvlJc w:val="left"/>
      <w:pPr>
        <w:tabs>
          <w:tab w:val="left" w:pos="1725"/>
        </w:tabs>
        <w:ind w:left="1725" w:hanging="825"/>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AC42944"/>
    <w:multiLevelType w:val="multilevel"/>
    <w:tmpl w:val="0AC42944"/>
    <w:lvl w:ilvl="0" w:tentative="0">
      <w:start w:val="1"/>
      <w:numFmt w:val="bullet"/>
      <w:pStyle w:val="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3">
    <w:nsid w:val="1E7C36A6"/>
    <w:multiLevelType w:val="multilevel"/>
    <w:tmpl w:val="1E7C36A6"/>
    <w:lvl w:ilvl="0" w:tentative="0">
      <w:start w:val="1"/>
      <w:numFmt w:val="decimal"/>
      <w:lvlText w:val="%1."/>
      <w:lvlJc w:val="left"/>
      <w:pPr>
        <w:tabs>
          <w:tab w:val="left" w:pos="360"/>
        </w:tabs>
        <w:ind w:left="360" w:hanging="360"/>
      </w:pPr>
      <w:rPr>
        <w:rFonts w:hint="default"/>
      </w:rPr>
    </w:lvl>
    <w:lvl w:ilvl="1" w:tentative="0">
      <w:start w:val="1"/>
      <w:numFmt w:val="decimal"/>
      <w:pStyle w:val="90"/>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3BE6FC0"/>
    <w:multiLevelType w:val="multilevel"/>
    <w:tmpl w:val="53BE6FC0"/>
    <w:lvl w:ilvl="0" w:tentative="0">
      <w:start w:val="1"/>
      <w:numFmt w:val="decimal"/>
      <w:pStyle w:val="142"/>
      <w:lvlText w:val="%1. "/>
      <w:lvlJc w:val="left"/>
      <w:pPr>
        <w:tabs>
          <w:tab w:val="left" w:pos="839"/>
        </w:tabs>
        <w:ind w:left="839" w:hanging="419"/>
      </w:pPr>
      <w:rPr>
        <w:rFonts w:hint="eastAsia"/>
      </w:rPr>
    </w:lvl>
    <w:lvl w:ilvl="1" w:tentative="0">
      <w:start w:val="1"/>
      <w:numFmt w:val="upperLetter"/>
      <w:pStyle w:val="143"/>
      <w:lvlText w:val="%2. "/>
      <w:lvlJc w:val="left"/>
      <w:pPr>
        <w:tabs>
          <w:tab w:val="left" w:pos="1049"/>
        </w:tabs>
        <w:ind w:left="1049" w:hanging="420"/>
      </w:pPr>
      <w:rPr>
        <w:rFonts w:hint="eastAsia"/>
      </w:rPr>
    </w:lvl>
    <w:lvl w:ilvl="2" w:tentative="0">
      <w:start w:val="1"/>
      <w:numFmt w:val="lowerLetter"/>
      <w:pStyle w:val="144"/>
      <w:lvlText w:val="%3. "/>
      <w:lvlJc w:val="left"/>
      <w:pPr>
        <w:tabs>
          <w:tab w:val="left" w:pos="1259"/>
        </w:tabs>
        <w:ind w:left="1259" w:hanging="420"/>
      </w:pPr>
      <w:rPr>
        <w:rFonts w:hint="eastAsia"/>
      </w:rPr>
    </w:lvl>
    <w:lvl w:ilvl="3" w:tentative="0">
      <w:start w:val="1"/>
      <w:numFmt w:val="lowerLetter"/>
      <w:pStyle w:val="145"/>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5">
    <w:nsid w:val="61164534"/>
    <w:multiLevelType w:val="multilevel"/>
    <w:tmpl w:val="61164534"/>
    <w:lvl w:ilvl="0" w:tentative="0">
      <w:start w:val="1"/>
      <w:numFmt w:val="bullet"/>
      <w:pStyle w:val="7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7AA00F8D"/>
    <w:multiLevelType w:val="multilevel"/>
    <w:tmpl w:val="7AA00F8D"/>
    <w:lvl w:ilvl="0" w:tentative="0">
      <w:start w:val="1"/>
      <w:numFmt w:val="decimal"/>
      <w:pStyle w:val="92"/>
      <w:lvlText w:val="（%1）"/>
      <w:lvlJc w:val="left"/>
      <w:pPr>
        <w:ind w:left="1080" w:hanging="36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49"/>
    <w:rsid w:val="00000C78"/>
    <w:rsid w:val="00002D34"/>
    <w:rsid w:val="00003271"/>
    <w:rsid w:val="00005DB0"/>
    <w:rsid w:val="00013991"/>
    <w:rsid w:val="000139D6"/>
    <w:rsid w:val="00016049"/>
    <w:rsid w:val="00026C67"/>
    <w:rsid w:val="00032142"/>
    <w:rsid w:val="00035378"/>
    <w:rsid w:val="00042BA1"/>
    <w:rsid w:val="000441CF"/>
    <w:rsid w:val="00057B9B"/>
    <w:rsid w:val="0006065B"/>
    <w:rsid w:val="0006564D"/>
    <w:rsid w:val="0006571F"/>
    <w:rsid w:val="00067E5F"/>
    <w:rsid w:val="00077E14"/>
    <w:rsid w:val="00090500"/>
    <w:rsid w:val="000905CA"/>
    <w:rsid w:val="000967B2"/>
    <w:rsid w:val="000A05D8"/>
    <w:rsid w:val="000B089C"/>
    <w:rsid w:val="000B2299"/>
    <w:rsid w:val="000C41DB"/>
    <w:rsid w:val="000D5BB8"/>
    <w:rsid w:val="000E67DA"/>
    <w:rsid w:val="000F6EAC"/>
    <w:rsid w:val="00101325"/>
    <w:rsid w:val="00103E1D"/>
    <w:rsid w:val="00107540"/>
    <w:rsid w:val="00121722"/>
    <w:rsid w:val="001228A6"/>
    <w:rsid w:val="00123DED"/>
    <w:rsid w:val="00136057"/>
    <w:rsid w:val="00136099"/>
    <w:rsid w:val="00143333"/>
    <w:rsid w:val="00153133"/>
    <w:rsid w:val="0017065A"/>
    <w:rsid w:val="00170AF8"/>
    <w:rsid w:val="0017671B"/>
    <w:rsid w:val="00184507"/>
    <w:rsid w:val="00191468"/>
    <w:rsid w:val="001920DA"/>
    <w:rsid w:val="00193B9B"/>
    <w:rsid w:val="001B0DDC"/>
    <w:rsid w:val="001B7F34"/>
    <w:rsid w:val="001D365E"/>
    <w:rsid w:val="001D431D"/>
    <w:rsid w:val="001D7DC1"/>
    <w:rsid w:val="001F165E"/>
    <w:rsid w:val="001F41F7"/>
    <w:rsid w:val="001F7D65"/>
    <w:rsid w:val="00205249"/>
    <w:rsid w:val="0021598E"/>
    <w:rsid w:val="00222ABF"/>
    <w:rsid w:val="00236459"/>
    <w:rsid w:val="00237763"/>
    <w:rsid w:val="00245972"/>
    <w:rsid w:val="002559B0"/>
    <w:rsid w:val="00255E17"/>
    <w:rsid w:val="00260FE2"/>
    <w:rsid w:val="002722C6"/>
    <w:rsid w:val="00280CCE"/>
    <w:rsid w:val="00286301"/>
    <w:rsid w:val="0029572C"/>
    <w:rsid w:val="002A7D33"/>
    <w:rsid w:val="002B5884"/>
    <w:rsid w:val="002C0C97"/>
    <w:rsid w:val="002D0C04"/>
    <w:rsid w:val="002D0D8E"/>
    <w:rsid w:val="002D2743"/>
    <w:rsid w:val="002D798B"/>
    <w:rsid w:val="002E2FA2"/>
    <w:rsid w:val="00300678"/>
    <w:rsid w:val="003028F1"/>
    <w:rsid w:val="0030509D"/>
    <w:rsid w:val="003364FB"/>
    <w:rsid w:val="00346F9C"/>
    <w:rsid w:val="003722DC"/>
    <w:rsid w:val="003775EB"/>
    <w:rsid w:val="00382519"/>
    <w:rsid w:val="00382EE7"/>
    <w:rsid w:val="003848C9"/>
    <w:rsid w:val="00390255"/>
    <w:rsid w:val="003927CA"/>
    <w:rsid w:val="00394748"/>
    <w:rsid w:val="003965F5"/>
    <w:rsid w:val="003A708F"/>
    <w:rsid w:val="003B100E"/>
    <w:rsid w:val="003B4DA9"/>
    <w:rsid w:val="003C0DBA"/>
    <w:rsid w:val="003D0977"/>
    <w:rsid w:val="003D5655"/>
    <w:rsid w:val="003E5A68"/>
    <w:rsid w:val="004049EB"/>
    <w:rsid w:val="004161EB"/>
    <w:rsid w:val="00467815"/>
    <w:rsid w:val="004749BC"/>
    <w:rsid w:val="004755CA"/>
    <w:rsid w:val="00477B06"/>
    <w:rsid w:val="00482546"/>
    <w:rsid w:val="0049613C"/>
    <w:rsid w:val="004A4DF9"/>
    <w:rsid w:val="004B3F92"/>
    <w:rsid w:val="004B408A"/>
    <w:rsid w:val="004B54A3"/>
    <w:rsid w:val="004B665E"/>
    <w:rsid w:val="004B678E"/>
    <w:rsid w:val="004E4174"/>
    <w:rsid w:val="004E4A32"/>
    <w:rsid w:val="004E54E2"/>
    <w:rsid w:val="00502E25"/>
    <w:rsid w:val="00503D4F"/>
    <w:rsid w:val="00517E83"/>
    <w:rsid w:val="00520B0E"/>
    <w:rsid w:val="005268DC"/>
    <w:rsid w:val="00537206"/>
    <w:rsid w:val="00537AA6"/>
    <w:rsid w:val="00552A68"/>
    <w:rsid w:val="005546D7"/>
    <w:rsid w:val="00562BB4"/>
    <w:rsid w:val="005656FA"/>
    <w:rsid w:val="00573DE4"/>
    <w:rsid w:val="00584EC7"/>
    <w:rsid w:val="00585DB1"/>
    <w:rsid w:val="0059386D"/>
    <w:rsid w:val="00593A09"/>
    <w:rsid w:val="00597CE2"/>
    <w:rsid w:val="005A10F1"/>
    <w:rsid w:val="005B605E"/>
    <w:rsid w:val="005C1B11"/>
    <w:rsid w:val="005C2EFF"/>
    <w:rsid w:val="005D1942"/>
    <w:rsid w:val="005D3E7D"/>
    <w:rsid w:val="005E2319"/>
    <w:rsid w:val="005E2D55"/>
    <w:rsid w:val="005E3315"/>
    <w:rsid w:val="005E6738"/>
    <w:rsid w:val="005E7F27"/>
    <w:rsid w:val="005F1B85"/>
    <w:rsid w:val="005F47DF"/>
    <w:rsid w:val="005F6DCD"/>
    <w:rsid w:val="0060115F"/>
    <w:rsid w:val="006115C4"/>
    <w:rsid w:val="0061370A"/>
    <w:rsid w:val="00616B7A"/>
    <w:rsid w:val="006253E4"/>
    <w:rsid w:val="00630633"/>
    <w:rsid w:val="00630A4C"/>
    <w:rsid w:val="00631898"/>
    <w:rsid w:val="00632D85"/>
    <w:rsid w:val="006378B7"/>
    <w:rsid w:val="00651E4A"/>
    <w:rsid w:val="006540C0"/>
    <w:rsid w:val="006616BC"/>
    <w:rsid w:val="0066653F"/>
    <w:rsid w:val="00683CAF"/>
    <w:rsid w:val="00691384"/>
    <w:rsid w:val="00692345"/>
    <w:rsid w:val="0069322A"/>
    <w:rsid w:val="006A30DE"/>
    <w:rsid w:val="006C19F8"/>
    <w:rsid w:val="006D0D45"/>
    <w:rsid w:val="006D53DE"/>
    <w:rsid w:val="006D5E2C"/>
    <w:rsid w:val="006D6ACB"/>
    <w:rsid w:val="006D79C6"/>
    <w:rsid w:val="006F1116"/>
    <w:rsid w:val="006F3356"/>
    <w:rsid w:val="006F355A"/>
    <w:rsid w:val="006F5700"/>
    <w:rsid w:val="007016EA"/>
    <w:rsid w:val="00707B8C"/>
    <w:rsid w:val="00732E79"/>
    <w:rsid w:val="00735828"/>
    <w:rsid w:val="00735DAC"/>
    <w:rsid w:val="00745A05"/>
    <w:rsid w:val="00756D6A"/>
    <w:rsid w:val="00760DF4"/>
    <w:rsid w:val="007718BD"/>
    <w:rsid w:val="00775CCA"/>
    <w:rsid w:val="007868C6"/>
    <w:rsid w:val="0079192A"/>
    <w:rsid w:val="007B317D"/>
    <w:rsid w:val="007C0294"/>
    <w:rsid w:val="007C5E64"/>
    <w:rsid w:val="007F5D1B"/>
    <w:rsid w:val="008059DF"/>
    <w:rsid w:val="0082342B"/>
    <w:rsid w:val="00825D3A"/>
    <w:rsid w:val="00826B6B"/>
    <w:rsid w:val="008316A1"/>
    <w:rsid w:val="00832719"/>
    <w:rsid w:val="0083490E"/>
    <w:rsid w:val="00845119"/>
    <w:rsid w:val="00845AEC"/>
    <w:rsid w:val="00846F4B"/>
    <w:rsid w:val="0086581D"/>
    <w:rsid w:val="00881A38"/>
    <w:rsid w:val="0088364D"/>
    <w:rsid w:val="00891BB4"/>
    <w:rsid w:val="00893726"/>
    <w:rsid w:val="00894A17"/>
    <w:rsid w:val="008B3146"/>
    <w:rsid w:val="008C5C96"/>
    <w:rsid w:val="008C6121"/>
    <w:rsid w:val="008D0B89"/>
    <w:rsid w:val="008D37E8"/>
    <w:rsid w:val="008D6761"/>
    <w:rsid w:val="008F25C5"/>
    <w:rsid w:val="008F4A76"/>
    <w:rsid w:val="008F6A9F"/>
    <w:rsid w:val="008F7425"/>
    <w:rsid w:val="00902B5C"/>
    <w:rsid w:val="00905954"/>
    <w:rsid w:val="00930578"/>
    <w:rsid w:val="009429BA"/>
    <w:rsid w:val="009500A0"/>
    <w:rsid w:val="00950D31"/>
    <w:rsid w:val="009512B1"/>
    <w:rsid w:val="00951719"/>
    <w:rsid w:val="0095349A"/>
    <w:rsid w:val="00957085"/>
    <w:rsid w:val="009652F5"/>
    <w:rsid w:val="00966224"/>
    <w:rsid w:val="009955A9"/>
    <w:rsid w:val="00995A1A"/>
    <w:rsid w:val="009A1525"/>
    <w:rsid w:val="009C3A34"/>
    <w:rsid w:val="009C6BF0"/>
    <w:rsid w:val="009C77F3"/>
    <w:rsid w:val="009D4403"/>
    <w:rsid w:val="009E3E62"/>
    <w:rsid w:val="009F398F"/>
    <w:rsid w:val="00A00310"/>
    <w:rsid w:val="00A02A9A"/>
    <w:rsid w:val="00A151F6"/>
    <w:rsid w:val="00A238D2"/>
    <w:rsid w:val="00A31B9B"/>
    <w:rsid w:val="00A35402"/>
    <w:rsid w:val="00A46101"/>
    <w:rsid w:val="00A50111"/>
    <w:rsid w:val="00A52BF4"/>
    <w:rsid w:val="00A53072"/>
    <w:rsid w:val="00A56FA9"/>
    <w:rsid w:val="00A654F6"/>
    <w:rsid w:val="00A66804"/>
    <w:rsid w:val="00A701BE"/>
    <w:rsid w:val="00A7020A"/>
    <w:rsid w:val="00A776DC"/>
    <w:rsid w:val="00A813F4"/>
    <w:rsid w:val="00A91795"/>
    <w:rsid w:val="00AB0C66"/>
    <w:rsid w:val="00AB286F"/>
    <w:rsid w:val="00AD08C8"/>
    <w:rsid w:val="00AD37DB"/>
    <w:rsid w:val="00AD5D0D"/>
    <w:rsid w:val="00AE0817"/>
    <w:rsid w:val="00AE5A71"/>
    <w:rsid w:val="00AE5D38"/>
    <w:rsid w:val="00AF20F8"/>
    <w:rsid w:val="00AF5FDA"/>
    <w:rsid w:val="00B049A1"/>
    <w:rsid w:val="00B22934"/>
    <w:rsid w:val="00B22DB5"/>
    <w:rsid w:val="00B30C2E"/>
    <w:rsid w:val="00B30C6E"/>
    <w:rsid w:val="00B33EB9"/>
    <w:rsid w:val="00B367C4"/>
    <w:rsid w:val="00B40965"/>
    <w:rsid w:val="00B45BB9"/>
    <w:rsid w:val="00B47EBE"/>
    <w:rsid w:val="00B50F58"/>
    <w:rsid w:val="00B55015"/>
    <w:rsid w:val="00B5552A"/>
    <w:rsid w:val="00B607AC"/>
    <w:rsid w:val="00B644A0"/>
    <w:rsid w:val="00B76794"/>
    <w:rsid w:val="00B83B7B"/>
    <w:rsid w:val="00B96F3D"/>
    <w:rsid w:val="00BA5E1E"/>
    <w:rsid w:val="00BA6A0F"/>
    <w:rsid w:val="00BB526A"/>
    <w:rsid w:val="00BC2A69"/>
    <w:rsid w:val="00BC2ECC"/>
    <w:rsid w:val="00BD6338"/>
    <w:rsid w:val="00BE3AE1"/>
    <w:rsid w:val="00BE3FCB"/>
    <w:rsid w:val="00BE615B"/>
    <w:rsid w:val="00BF1054"/>
    <w:rsid w:val="00C03F02"/>
    <w:rsid w:val="00C209FA"/>
    <w:rsid w:val="00C2186E"/>
    <w:rsid w:val="00C249CA"/>
    <w:rsid w:val="00C35C7C"/>
    <w:rsid w:val="00C4053E"/>
    <w:rsid w:val="00C53C73"/>
    <w:rsid w:val="00C82460"/>
    <w:rsid w:val="00C8740D"/>
    <w:rsid w:val="00C8795B"/>
    <w:rsid w:val="00C93429"/>
    <w:rsid w:val="00C96403"/>
    <w:rsid w:val="00C97E74"/>
    <w:rsid w:val="00CA5B1F"/>
    <w:rsid w:val="00CB13FA"/>
    <w:rsid w:val="00CC0987"/>
    <w:rsid w:val="00CC1B86"/>
    <w:rsid w:val="00CC22B8"/>
    <w:rsid w:val="00CE0189"/>
    <w:rsid w:val="00CE2492"/>
    <w:rsid w:val="00CF6DA3"/>
    <w:rsid w:val="00D1098A"/>
    <w:rsid w:val="00D3502A"/>
    <w:rsid w:val="00D410DD"/>
    <w:rsid w:val="00D500BA"/>
    <w:rsid w:val="00D52963"/>
    <w:rsid w:val="00D53B05"/>
    <w:rsid w:val="00D63BEE"/>
    <w:rsid w:val="00D6401B"/>
    <w:rsid w:val="00D74069"/>
    <w:rsid w:val="00D9762B"/>
    <w:rsid w:val="00DA11A1"/>
    <w:rsid w:val="00DB0ABB"/>
    <w:rsid w:val="00DB1ADD"/>
    <w:rsid w:val="00DB2F3C"/>
    <w:rsid w:val="00DB38B5"/>
    <w:rsid w:val="00DB43E3"/>
    <w:rsid w:val="00DD456A"/>
    <w:rsid w:val="00DD7297"/>
    <w:rsid w:val="00DD7B53"/>
    <w:rsid w:val="00DF562B"/>
    <w:rsid w:val="00E0211A"/>
    <w:rsid w:val="00E0244E"/>
    <w:rsid w:val="00E07C9D"/>
    <w:rsid w:val="00E11D8D"/>
    <w:rsid w:val="00E2202B"/>
    <w:rsid w:val="00E2424D"/>
    <w:rsid w:val="00E25EEB"/>
    <w:rsid w:val="00E26425"/>
    <w:rsid w:val="00E32233"/>
    <w:rsid w:val="00E32D2C"/>
    <w:rsid w:val="00E41144"/>
    <w:rsid w:val="00E43EE8"/>
    <w:rsid w:val="00E5739C"/>
    <w:rsid w:val="00E61705"/>
    <w:rsid w:val="00E6330C"/>
    <w:rsid w:val="00E66003"/>
    <w:rsid w:val="00E665DB"/>
    <w:rsid w:val="00E74FE6"/>
    <w:rsid w:val="00E77273"/>
    <w:rsid w:val="00E81709"/>
    <w:rsid w:val="00E93C7D"/>
    <w:rsid w:val="00E94EBF"/>
    <w:rsid w:val="00E9672E"/>
    <w:rsid w:val="00EA61F8"/>
    <w:rsid w:val="00EA64FA"/>
    <w:rsid w:val="00EA6D5C"/>
    <w:rsid w:val="00EB0878"/>
    <w:rsid w:val="00EB4379"/>
    <w:rsid w:val="00EC51F2"/>
    <w:rsid w:val="00EC614A"/>
    <w:rsid w:val="00EE79D2"/>
    <w:rsid w:val="00EF7FE7"/>
    <w:rsid w:val="00F1021F"/>
    <w:rsid w:val="00F13326"/>
    <w:rsid w:val="00F13976"/>
    <w:rsid w:val="00F163CB"/>
    <w:rsid w:val="00F23F15"/>
    <w:rsid w:val="00F34876"/>
    <w:rsid w:val="00F363B4"/>
    <w:rsid w:val="00F36CE6"/>
    <w:rsid w:val="00F42B86"/>
    <w:rsid w:val="00F54BDB"/>
    <w:rsid w:val="00F61BDF"/>
    <w:rsid w:val="00F76A53"/>
    <w:rsid w:val="00F830AE"/>
    <w:rsid w:val="00F8380D"/>
    <w:rsid w:val="00F84443"/>
    <w:rsid w:val="00F872A4"/>
    <w:rsid w:val="00F96532"/>
    <w:rsid w:val="00FB3187"/>
    <w:rsid w:val="00FC3225"/>
    <w:rsid w:val="00FC3947"/>
    <w:rsid w:val="00FC54E2"/>
    <w:rsid w:val="00FD0665"/>
    <w:rsid w:val="00FD381E"/>
    <w:rsid w:val="00FD6DE2"/>
    <w:rsid w:val="00FF5CFD"/>
    <w:rsid w:val="00FF7B22"/>
    <w:rsid w:val="B8DD07A6"/>
    <w:rsid w:val="FFF7FF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99" w:semiHidden="0" w:name="Date"/>
    <w:lsdException w:uiPriority="99" w:name="Body Text First Indent"/>
    <w:lsdException w:unhideWhenUsed="0" w:uiPriority="0"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nhideWhenUsed="0" w:uiPriority="0" w:semiHidden="0"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53"/>
    <w:qFormat/>
    <w:uiPriority w:val="99"/>
    <w:pPr>
      <w:keepNext/>
      <w:outlineLvl w:val="0"/>
    </w:pPr>
    <w:rPr>
      <w:sz w:val="28"/>
    </w:rPr>
  </w:style>
  <w:style w:type="paragraph" w:styleId="3">
    <w:name w:val="heading 2"/>
    <w:basedOn w:val="1"/>
    <w:next w:val="1"/>
    <w:link w:val="55"/>
    <w:qFormat/>
    <w:uiPriority w:val="0"/>
    <w:pPr>
      <w:keepNext/>
      <w:ind w:left="-39" w:leftChars="-19" w:hanging="1"/>
      <w:outlineLvl w:val="1"/>
    </w:pPr>
    <w:rPr>
      <w:rFonts w:ascii="宋体" w:hAnsi="宋体"/>
      <w:sz w:val="28"/>
      <w:szCs w:val="24"/>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autoRedefine/>
    <w:qFormat/>
    <w:uiPriority w:val="0"/>
    <w:pPr>
      <w:keepNext/>
      <w:keepLines/>
      <w:spacing w:line="376" w:lineRule="auto"/>
      <w:ind w:left="100" w:leftChars="100" w:right="100" w:rightChars="100"/>
      <w:outlineLvl w:val="3"/>
    </w:pPr>
    <w:rPr>
      <w:rFonts w:ascii="Arial" w:hAnsi="Arial"/>
      <w:b/>
      <w:bCs/>
      <w:sz w:val="32"/>
      <w:szCs w:val="28"/>
    </w:rPr>
  </w:style>
  <w:style w:type="paragraph" w:styleId="6">
    <w:name w:val="heading 5"/>
    <w:basedOn w:val="1"/>
    <w:next w:val="1"/>
    <w:link w:val="48"/>
    <w:qFormat/>
    <w:uiPriority w:val="0"/>
    <w:pPr>
      <w:keepNext/>
      <w:keepLines/>
      <w:spacing w:before="280" w:after="290" w:line="360" w:lineRule="auto"/>
      <w:jc w:val="left"/>
      <w:outlineLvl w:val="4"/>
    </w:pPr>
    <w:rPr>
      <w:rFonts w:ascii="仿宋_GB2312" w:hAnsi="仿宋_GB2312" w:eastAsia="仿宋_GB2312" w:cs="仿宋_GB2312"/>
      <w:sz w:val="28"/>
      <w:szCs w:val="28"/>
    </w:rPr>
  </w:style>
  <w:style w:type="paragraph" w:styleId="7">
    <w:name w:val="heading 6"/>
    <w:basedOn w:val="1"/>
    <w:next w:val="1"/>
    <w:link w:val="49"/>
    <w:qFormat/>
    <w:uiPriority w:val="0"/>
    <w:pPr>
      <w:keepNext/>
      <w:keepLines/>
      <w:tabs>
        <w:tab w:val="left" w:pos="1152"/>
      </w:tabs>
      <w:spacing w:before="100" w:beforeAutospacing="1" w:after="100" w:afterAutospacing="1"/>
      <w:ind w:left="1152" w:hanging="1152"/>
      <w:outlineLvl w:val="5"/>
    </w:pPr>
    <w:rPr>
      <w:b/>
      <w:bCs/>
      <w:szCs w:val="24"/>
      <w:lang w:val="zh-CN" w:eastAsia="zh-CN"/>
    </w:rPr>
  </w:style>
  <w:style w:type="paragraph" w:styleId="8">
    <w:name w:val="heading 7"/>
    <w:basedOn w:val="1"/>
    <w:next w:val="1"/>
    <w:link w:val="50"/>
    <w:qFormat/>
    <w:uiPriority w:val="0"/>
    <w:pPr>
      <w:keepNext/>
      <w:keepLines/>
      <w:tabs>
        <w:tab w:val="left" w:pos="1296"/>
      </w:tabs>
      <w:spacing w:before="100" w:beforeAutospacing="1" w:after="100" w:afterAutospacing="1"/>
      <w:ind w:left="1296" w:hanging="1296"/>
      <w:outlineLvl w:val="6"/>
    </w:pPr>
    <w:rPr>
      <w:b/>
      <w:bCs/>
      <w:szCs w:val="24"/>
      <w:lang w:val="zh-CN" w:eastAsia="zh-CN"/>
    </w:rPr>
  </w:style>
  <w:style w:type="paragraph" w:styleId="9">
    <w:name w:val="heading 8"/>
    <w:basedOn w:val="1"/>
    <w:next w:val="1"/>
    <w:link w:val="51"/>
    <w:qFormat/>
    <w:uiPriority w:val="0"/>
    <w:pPr>
      <w:keepNext/>
      <w:keepLines/>
      <w:tabs>
        <w:tab w:val="left" w:pos="1440"/>
      </w:tabs>
      <w:spacing w:before="100" w:beforeAutospacing="1" w:after="100" w:afterAutospacing="1"/>
      <w:ind w:left="1440" w:hanging="1440"/>
      <w:outlineLvl w:val="7"/>
    </w:pPr>
    <w:rPr>
      <w:b/>
      <w:szCs w:val="24"/>
      <w:lang w:val="zh-CN" w:eastAsia="zh-CN"/>
    </w:rPr>
  </w:style>
  <w:style w:type="paragraph" w:styleId="10">
    <w:name w:val="heading 9"/>
    <w:basedOn w:val="1"/>
    <w:next w:val="1"/>
    <w:link w:val="52"/>
    <w:qFormat/>
    <w:uiPriority w:val="0"/>
    <w:pPr>
      <w:keepNext/>
      <w:keepLines/>
      <w:tabs>
        <w:tab w:val="left" w:pos="1584"/>
      </w:tabs>
      <w:spacing w:before="100" w:beforeAutospacing="1" w:after="100" w:afterAutospacing="1"/>
      <w:ind w:left="1584" w:hanging="1584"/>
      <w:outlineLvl w:val="8"/>
    </w:pPr>
    <w:rPr>
      <w:b/>
      <w:szCs w:val="21"/>
      <w:lang w:val="zh-CN" w:eastAsia="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6"/>
    <w:uiPriority w:val="99"/>
    <w:pPr>
      <w:ind w:firstLine="420"/>
    </w:pPr>
  </w:style>
  <w:style w:type="paragraph" w:styleId="12">
    <w:name w:val="Document Map"/>
    <w:basedOn w:val="1"/>
    <w:link w:val="114"/>
    <w:uiPriority w:val="0"/>
    <w:pPr>
      <w:shd w:val="clear" w:color="auto" w:fill="000080"/>
      <w:spacing w:before="100" w:beforeAutospacing="1" w:after="100" w:afterAutospacing="1"/>
    </w:pPr>
    <w:rPr>
      <w:szCs w:val="24"/>
      <w:lang w:val="zh-CN" w:eastAsia="zh-CN"/>
    </w:rPr>
  </w:style>
  <w:style w:type="paragraph" w:styleId="13">
    <w:name w:val="annotation text"/>
    <w:basedOn w:val="1"/>
    <w:link w:val="88"/>
    <w:semiHidden/>
    <w:uiPriority w:val="0"/>
    <w:pPr>
      <w:jc w:val="left"/>
    </w:pPr>
    <w:rPr>
      <w:rFonts w:asciiTheme="minorHAnsi" w:hAnsiTheme="minorHAnsi" w:cstheme="minorBidi"/>
      <w:szCs w:val="24"/>
    </w:rPr>
  </w:style>
  <w:style w:type="paragraph" w:styleId="14">
    <w:name w:val="Body Text"/>
    <w:basedOn w:val="1"/>
    <w:link w:val="62"/>
    <w:uiPriority w:val="0"/>
    <w:pPr>
      <w:tabs>
        <w:tab w:val="left" w:pos="2674"/>
      </w:tabs>
      <w:spacing w:line="560" w:lineRule="exact"/>
    </w:pPr>
    <w:rPr>
      <w:rFonts w:ascii="宋体" w:hAnsi="宋体"/>
      <w:sz w:val="24"/>
      <w:lang w:val="zh-CN" w:eastAsia="zh-CN"/>
    </w:rPr>
  </w:style>
  <w:style w:type="paragraph" w:styleId="15">
    <w:name w:val="Body Text Indent"/>
    <w:basedOn w:val="1"/>
    <w:link w:val="58"/>
    <w:uiPriority w:val="0"/>
    <w:pPr>
      <w:spacing w:line="460" w:lineRule="exact"/>
      <w:ind w:firstLine="480"/>
    </w:pPr>
    <w:rPr>
      <w:sz w:val="24"/>
      <w:lang w:val="zh-CN" w:eastAsia="zh-CN"/>
    </w:rPr>
  </w:style>
  <w:style w:type="paragraph" w:styleId="16">
    <w:name w:val="HTML Address"/>
    <w:basedOn w:val="1"/>
    <w:link w:val="128"/>
    <w:uiPriority w:val="0"/>
    <w:pPr>
      <w:widowControl/>
      <w:jc w:val="left"/>
    </w:pPr>
    <w:rPr>
      <w:rFonts w:ascii="宋体" w:hAnsi="宋体"/>
      <w:i/>
      <w:iCs/>
      <w:kern w:val="0"/>
      <w:sz w:val="24"/>
      <w:szCs w:val="24"/>
    </w:rPr>
  </w:style>
  <w:style w:type="paragraph" w:styleId="17">
    <w:name w:val="toc 3"/>
    <w:basedOn w:val="1"/>
    <w:next w:val="1"/>
    <w:autoRedefine/>
    <w:semiHidden/>
    <w:uiPriority w:val="0"/>
    <w:pPr>
      <w:ind w:left="840" w:leftChars="400"/>
    </w:pPr>
  </w:style>
  <w:style w:type="paragraph" w:styleId="18">
    <w:name w:val="Plain Text"/>
    <w:basedOn w:val="1"/>
    <w:link w:val="61"/>
    <w:uiPriority w:val="0"/>
    <w:rPr>
      <w:rFonts w:ascii="宋体" w:hAnsi="Courier New"/>
      <w:szCs w:val="21"/>
    </w:rPr>
  </w:style>
  <w:style w:type="paragraph" w:styleId="19">
    <w:name w:val="Date"/>
    <w:basedOn w:val="1"/>
    <w:next w:val="1"/>
    <w:link w:val="57"/>
    <w:uiPriority w:val="99"/>
    <w:rPr>
      <w:sz w:val="32"/>
    </w:rPr>
  </w:style>
  <w:style w:type="paragraph" w:styleId="20">
    <w:name w:val="Body Text Indent 2"/>
    <w:basedOn w:val="1"/>
    <w:link w:val="59"/>
    <w:uiPriority w:val="0"/>
    <w:pPr>
      <w:spacing w:line="460" w:lineRule="exact"/>
      <w:ind w:firstLine="471" w:firstLineChars="200"/>
    </w:pPr>
    <w:rPr>
      <w:rFonts w:ascii="宋体" w:hAnsi="宋体"/>
      <w:sz w:val="24"/>
    </w:rPr>
  </w:style>
  <w:style w:type="paragraph" w:styleId="21">
    <w:name w:val="Balloon Text"/>
    <w:basedOn w:val="1"/>
    <w:link w:val="64"/>
    <w:semiHidden/>
    <w:uiPriority w:val="99"/>
    <w:rPr>
      <w:sz w:val="18"/>
      <w:szCs w:val="18"/>
      <w:lang w:val="zh-CN" w:eastAsia="zh-CN"/>
    </w:rPr>
  </w:style>
  <w:style w:type="paragraph" w:styleId="22">
    <w:name w:val="footer"/>
    <w:basedOn w:val="1"/>
    <w:link w:val="43"/>
    <w:unhideWhenUsed/>
    <w:qFormat/>
    <w:uiPriority w:val="0"/>
    <w:pPr>
      <w:tabs>
        <w:tab w:val="center" w:pos="4153"/>
        <w:tab w:val="right" w:pos="8306"/>
      </w:tabs>
      <w:snapToGrid w:val="0"/>
      <w:jc w:val="left"/>
    </w:pPr>
    <w:rPr>
      <w:sz w:val="18"/>
      <w:szCs w:val="18"/>
    </w:rPr>
  </w:style>
  <w:style w:type="paragraph" w:styleId="23">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semiHidden/>
    <w:uiPriority w:val="0"/>
    <w:pPr>
      <w:tabs>
        <w:tab w:val="right" w:leader="dot" w:pos="8303"/>
      </w:tabs>
      <w:adjustRightInd w:val="0"/>
      <w:spacing w:line="360" w:lineRule="atLeast"/>
      <w:textAlignment w:val="baseline"/>
    </w:pPr>
    <w:rPr>
      <w:rFonts w:ascii="宋体"/>
      <w:b/>
      <w:kern w:val="0"/>
      <w:sz w:val="28"/>
    </w:rPr>
  </w:style>
  <w:style w:type="paragraph" w:styleId="25">
    <w:name w:val="Subtitle"/>
    <w:basedOn w:val="1"/>
    <w:next w:val="1"/>
    <w:link w:val="116"/>
    <w:qFormat/>
    <w:uiPriority w:val="0"/>
    <w:pPr>
      <w:spacing w:before="240" w:after="60" w:line="312" w:lineRule="auto"/>
      <w:jc w:val="center"/>
      <w:outlineLvl w:val="1"/>
    </w:pPr>
    <w:rPr>
      <w:rFonts w:ascii="Cambria" w:hAnsi="Cambria"/>
      <w:b/>
      <w:bCs/>
      <w:kern w:val="28"/>
      <w:sz w:val="32"/>
      <w:szCs w:val="32"/>
    </w:rPr>
  </w:style>
  <w:style w:type="paragraph" w:styleId="26">
    <w:name w:val="Body Text Indent 3"/>
    <w:basedOn w:val="1"/>
    <w:link w:val="60"/>
    <w:uiPriority w:val="0"/>
    <w:pPr>
      <w:spacing w:line="460" w:lineRule="exact"/>
      <w:ind w:firstLine="540" w:firstLineChars="225"/>
    </w:pPr>
    <w:rPr>
      <w:rFonts w:ascii="宋体" w:hAnsi="宋体"/>
      <w:sz w:val="24"/>
    </w:rPr>
  </w:style>
  <w:style w:type="paragraph" w:styleId="27">
    <w:name w:val="toc 2"/>
    <w:basedOn w:val="1"/>
    <w:next w:val="1"/>
    <w:autoRedefine/>
    <w:semiHidden/>
    <w:uiPriority w:val="0"/>
    <w:pPr>
      <w:adjustRightInd w:val="0"/>
      <w:spacing w:line="360" w:lineRule="atLeast"/>
      <w:ind w:left="420"/>
      <w:jc w:val="left"/>
      <w:textAlignment w:val="baseline"/>
    </w:pPr>
    <w:rPr>
      <w:kern w:val="0"/>
      <w:sz w:val="24"/>
    </w:rPr>
  </w:style>
  <w:style w:type="paragraph" w:styleId="28">
    <w:name w:val="Body Text 2"/>
    <w:basedOn w:val="1"/>
    <w:link w:val="63"/>
    <w:uiPriority w:val="0"/>
    <w:rPr>
      <w:color w:val="000000"/>
      <w:sz w:val="24"/>
      <w:szCs w:val="26"/>
    </w:rPr>
  </w:style>
  <w:style w:type="paragraph" w:styleId="29">
    <w:name w:val="HTML Preformatted"/>
    <w:basedOn w:val="1"/>
    <w:link w:val="78"/>
    <w:uiPriority w:val="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0"/>
      </w:tabs>
      <w:ind w:left="0" w:firstLine="0"/>
      <w:jc w:val="left"/>
    </w:pPr>
    <w:rPr>
      <w:rFonts w:ascii="宋体" w:hAnsi="宋体" w:cs="宋体"/>
      <w:kern w:val="0"/>
      <w:sz w:val="24"/>
      <w:szCs w:val="24"/>
    </w:rPr>
  </w:style>
  <w:style w:type="paragraph" w:styleId="30">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153"/>
    <w:qFormat/>
    <w:uiPriority w:val="0"/>
    <w:pPr>
      <w:spacing w:before="240" w:after="60"/>
      <w:jc w:val="center"/>
      <w:outlineLvl w:val="0"/>
    </w:pPr>
    <w:rPr>
      <w:rFonts w:ascii="Cambria" w:hAnsi="Cambria"/>
      <w:b/>
      <w:bCs/>
      <w:sz w:val="32"/>
      <w:szCs w:val="32"/>
    </w:rPr>
  </w:style>
  <w:style w:type="paragraph" w:styleId="32">
    <w:name w:val="annotation subject"/>
    <w:basedOn w:val="13"/>
    <w:next w:val="13"/>
    <w:link w:val="91"/>
    <w:semiHidden/>
    <w:uiPriority w:val="99"/>
    <w:rPr>
      <w:b/>
      <w:bCs/>
      <w:sz w:val="24"/>
      <w:szCs w:val="20"/>
      <w:lang w:val="zh-CN" w:eastAsia="zh-CN"/>
    </w:rPr>
  </w:style>
  <w:style w:type="paragraph" w:styleId="33">
    <w:name w:val="Body Text First Indent 2"/>
    <w:basedOn w:val="15"/>
    <w:link w:val="99"/>
    <w:uiPriority w:val="0"/>
    <w:pPr>
      <w:spacing w:after="120" w:line="240" w:lineRule="auto"/>
      <w:ind w:left="420" w:leftChars="200" w:firstLine="420" w:firstLineChars="200"/>
    </w:pPr>
    <w:rPr>
      <w:sz w:val="21"/>
    </w:rPr>
  </w:style>
  <w:style w:type="table" w:styleId="35">
    <w:name w:val="Table Grid"/>
    <w:basedOn w:val="3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basedOn w:val="36"/>
    <w:uiPriority w:val="0"/>
  </w:style>
  <w:style w:type="character" w:styleId="39">
    <w:name w:val="FollowedHyperlink"/>
    <w:uiPriority w:val="0"/>
    <w:rPr>
      <w:color w:val="800080"/>
      <w:u w:val="single"/>
    </w:rPr>
  </w:style>
  <w:style w:type="character" w:styleId="40">
    <w:name w:val="Hyperlink"/>
    <w:uiPriority w:val="99"/>
    <w:rPr>
      <w:color w:val="0000FF"/>
      <w:u w:val="single"/>
    </w:rPr>
  </w:style>
  <w:style w:type="character" w:styleId="41">
    <w:name w:val="annotation reference"/>
    <w:unhideWhenUsed/>
    <w:uiPriority w:val="99"/>
    <w:rPr>
      <w:sz w:val="21"/>
      <w:szCs w:val="21"/>
    </w:rPr>
  </w:style>
  <w:style w:type="character" w:customStyle="1" w:styleId="42">
    <w:name w:val="页眉 Char"/>
    <w:basedOn w:val="36"/>
    <w:link w:val="23"/>
    <w:qFormat/>
    <w:uiPriority w:val="0"/>
    <w:rPr>
      <w:sz w:val="18"/>
      <w:szCs w:val="18"/>
    </w:rPr>
  </w:style>
  <w:style w:type="character" w:customStyle="1" w:styleId="43">
    <w:name w:val="页脚 Char"/>
    <w:basedOn w:val="36"/>
    <w:link w:val="22"/>
    <w:uiPriority w:val="0"/>
    <w:rPr>
      <w:sz w:val="18"/>
      <w:szCs w:val="18"/>
    </w:rPr>
  </w:style>
  <w:style w:type="character" w:customStyle="1" w:styleId="44">
    <w:name w:val="标题 1 Char"/>
    <w:basedOn w:val="36"/>
    <w:uiPriority w:val="99"/>
    <w:rPr>
      <w:rFonts w:ascii="Times New Roman" w:hAnsi="Times New Roman" w:eastAsia="宋体" w:cs="Times New Roman"/>
      <w:b/>
      <w:bCs/>
      <w:kern w:val="44"/>
      <w:sz w:val="44"/>
      <w:szCs w:val="44"/>
    </w:rPr>
  </w:style>
  <w:style w:type="character" w:customStyle="1" w:styleId="45">
    <w:name w:val="标题 2 Char"/>
    <w:basedOn w:val="36"/>
    <w:uiPriority w:val="0"/>
    <w:rPr>
      <w:rFonts w:asciiTheme="majorHAnsi" w:hAnsiTheme="majorHAnsi" w:eastAsiaTheme="majorEastAsia" w:cstheme="majorBidi"/>
      <w:b/>
      <w:bCs/>
      <w:sz w:val="32"/>
      <w:szCs w:val="32"/>
    </w:rPr>
  </w:style>
  <w:style w:type="character" w:customStyle="1" w:styleId="46">
    <w:name w:val="标题 3 Char"/>
    <w:basedOn w:val="36"/>
    <w:link w:val="4"/>
    <w:uiPriority w:val="0"/>
    <w:rPr>
      <w:rFonts w:ascii="Times New Roman" w:hAnsi="Times New Roman" w:eastAsia="宋体" w:cs="Times New Roman"/>
      <w:b/>
      <w:bCs/>
      <w:sz w:val="32"/>
      <w:szCs w:val="32"/>
    </w:rPr>
  </w:style>
  <w:style w:type="character" w:customStyle="1" w:styleId="47">
    <w:name w:val="标题 4 Char"/>
    <w:basedOn w:val="36"/>
    <w:link w:val="5"/>
    <w:uiPriority w:val="0"/>
    <w:rPr>
      <w:rFonts w:ascii="Arial" w:hAnsi="Arial" w:eastAsia="宋体" w:cs="Times New Roman"/>
      <w:b/>
      <w:bCs/>
      <w:sz w:val="32"/>
      <w:szCs w:val="28"/>
    </w:rPr>
  </w:style>
  <w:style w:type="character" w:customStyle="1" w:styleId="48">
    <w:name w:val="标题 5 Char"/>
    <w:basedOn w:val="36"/>
    <w:link w:val="6"/>
    <w:uiPriority w:val="0"/>
    <w:rPr>
      <w:rFonts w:ascii="仿宋_GB2312" w:hAnsi="仿宋_GB2312" w:eastAsia="仿宋_GB2312" w:cs="仿宋_GB2312"/>
      <w:sz w:val="28"/>
      <w:szCs w:val="28"/>
    </w:rPr>
  </w:style>
  <w:style w:type="character" w:customStyle="1" w:styleId="49">
    <w:name w:val="标题 6 Char"/>
    <w:basedOn w:val="36"/>
    <w:link w:val="7"/>
    <w:uiPriority w:val="0"/>
    <w:rPr>
      <w:rFonts w:ascii="Times New Roman" w:hAnsi="Times New Roman" w:eastAsia="宋体" w:cs="Times New Roman"/>
      <w:b/>
      <w:bCs/>
      <w:szCs w:val="24"/>
      <w:lang w:val="zh-CN" w:eastAsia="zh-CN"/>
    </w:rPr>
  </w:style>
  <w:style w:type="character" w:customStyle="1" w:styleId="50">
    <w:name w:val="标题 7 Char"/>
    <w:basedOn w:val="36"/>
    <w:link w:val="8"/>
    <w:uiPriority w:val="0"/>
    <w:rPr>
      <w:rFonts w:ascii="Times New Roman" w:hAnsi="Times New Roman" w:eastAsia="宋体" w:cs="Times New Roman"/>
      <w:b/>
      <w:bCs/>
      <w:szCs w:val="24"/>
      <w:lang w:val="zh-CN" w:eastAsia="zh-CN"/>
    </w:rPr>
  </w:style>
  <w:style w:type="character" w:customStyle="1" w:styleId="51">
    <w:name w:val="标题 8 Char"/>
    <w:basedOn w:val="36"/>
    <w:link w:val="9"/>
    <w:uiPriority w:val="0"/>
    <w:rPr>
      <w:rFonts w:ascii="Times New Roman" w:hAnsi="Times New Roman" w:eastAsia="宋体" w:cs="Times New Roman"/>
      <w:b/>
      <w:szCs w:val="24"/>
      <w:lang w:val="zh-CN" w:eastAsia="zh-CN"/>
    </w:rPr>
  </w:style>
  <w:style w:type="character" w:customStyle="1" w:styleId="52">
    <w:name w:val="标题 9 Char"/>
    <w:basedOn w:val="36"/>
    <w:link w:val="10"/>
    <w:uiPriority w:val="0"/>
    <w:rPr>
      <w:rFonts w:ascii="Times New Roman" w:hAnsi="Times New Roman" w:eastAsia="宋体" w:cs="Times New Roman"/>
      <w:b/>
      <w:szCs w:val="21"/>
      <w:lang w:val="zh-CN" w:eastAsia="zh-CN"/>
    </w:rPr>
  </w:style>
  <w:style w:type="character" w:customStyle="1" w:styleId="53">
    <w:name w:val="标题 1 Char1"/>
    <w:link w:val="2"/>
    <w:uiPriority w:val="99"/>
    <w:rPr>
      <w:rFonts w:ascii="Times New Roman" w:hAnsi="Times New Roman" w:eastAsia="宋体" w:cs="Times New Roman"/>
      <w:sz w:val="28"/>
      <w:szCs w:val="20"/>
    </w:rPr>
  </w:style>
  <w:style w:type="paragraph" w:customStyle="1" w:styleId="54">
    <w:name w:val="Char1 Char Char Char"/>
    <w:basedOn w:val="1"/>
    <w:uiPriority w:val="0"/>
    <w:rPr>
      <w:rFonts w:ascii="Tahoma" w:hAnsi="Tahoma"/>
      <w:sz w:val="24"/>
    </w:rPr>
  </w:style>
  <w:style w:type="character" w:customStyle="1" w:styleId="55">
    <w:name w:val="标题 2 Char1"/>
    <w:link w:val="3"/>
    <w:uiPriority w:val="0"/>
    <w:rPr>
      <w:rFonts w:ascii="宋体" w:hAnsi="宋体" w:eastAsia="宋体" w:cs="Times New Roman"/>
      <w:sz w:val="28"/>
      <w:szCs w:val="24"/>
    </w:rPr>
  </w:style>
  <w:style w:type="character" w:customStyle="1" w:styleId="56">
    <w:name w:val="正文缩进 Char"/>
    <w:link w:val="11"/>
    <w:uiPriority w:val="99"/>
    <w:rPr>
      <w:rFonts w:ascii="Times New Roman" w:hAnsi="Times New Roman" w:eastAsia="宋体" w:cs="Times New Roman"/>
      <w:szCs w:val="20"/>
    </w:rPr>
  </w:style>
  <w:style w:type="character" w:customStyle="1" w:styleId="57">
    <w:name w:val="日期 Char"/>
    <w:basedOn w:val="36"/>
    <w:link w:val="19"/>
    <w:uiPriority w:val="99"/>
    <w:rPr>
      <w:rFonts w:ascii="Times New Roman" w:hAnsi="Times New Roman" w:eastAsia="宋体" w:cs="Times New Roman"/>
      <w:sz w:val="32"/>
      <w:szCs w:val="20"/>
    </w:rPr>
  </w:style>
  <w:style w:type="character" w:customStyle="1" w:styleId="58">
    <w:name w:val="正文文本缩进 Char"/>
    <w:basedOn w:val="36"/>
    <w:link w:val="15"/>
    <w:uiPriority w:val="0"/>
    <w:rPr>
      <w:rFonts w:ascii="Times New Roman" w:hAnsi="Times New Roman" w:eastAsia="宋体" w:cs="Times New Roman"/>
      <w:sz w:val="24"/>
      <w:szCs w:val="20"/>
      <w:lang w:val="zh-CN" w:eastAsia="zh-CN"/>
    </w:rPr>
  </w:style>
  <w:style w:type="character" w:customStyle="1" w:styleId="59">
    <w:name w:val="正文文本缩进 2 Char"/>
    <w:basedOn w:val="36"/>
    <w:link w:val="20"/>
    <w:uiPriority w:val="0"/>
    <w:rPr>
      <w:rFonts w:ascii="宋体" w:hAnsi="宋体" w:eastAsia="宋体" w:cs="Times New Roman"/>
      <w:sz w:val="24"/>
      <w:szCs w:val="20"/>
    </w:rPr>
  </w:style>
  <w:style w:type="character" w:customStyle="1" w:styleId="60">
    <w:name w:val="正文文本缩进 3 Char"/>
    <w:basedOn w:val="36"/>
    <w:link w:val="26"/>
    <w:uiPriority w:val="0"/>
    <w:rPr>
      <w:rFonts w:ascii="宋体" w:hAnsi="宋体" w:eastAsia="宋体" w:cs="Times New Roman"/>
      <w:sz w:val="24"/>
      <w:szCs w:val="20"/>
    </w:rPr>
  </w:style>
  <w:style w:type="character" w:customStyle="1" w:styleId="61">
    <w:name w:val="纯文本 Char"/>
    <w:basedOn w:val="36"/>
    <w:link w:val="18"/>
    <w:uiPriority w:val="0"/>
    <w:rPr>
      <w:rFonts w:ascii="宋体" w:hAnsi="Courier New" w:eastAsia="宋体" w:cs="Times New Roman"/>
      <w:szCs w:val="21"/>
    </w:rPr>
  </w:style>
  <w:style w:type="character" w:customStyle="1" w:styleId="62">
    <w:name w:val="正文文本 Char"/>
    <w:basedOn w:val="36"/>
    <w:link w:val="14"/>
    <w:uiPriority w:val="0"/>
    <w:rPr>
      <w:rFonts w:ascii="宋体" w:hAnsi="宋体" w:eastAsia="宋体" w:cs="Times New Roman"/>
      <w:sz w:val="24"/>
      <w:szCs w:val="20"/>
      <w:lang w:val="zh-CN" w:eastAsia="zh-CN"/>
    </w:rPr>
  </w:style>
  <w:style w:type="character" w:customStyle="1" w:styleId="63">
    <w:name w:val="正文文本 2 Char"/>
    <w:basedOn w:val="36"/>
    <w:link w:val="28"/>
    <w:uiPriority w:val="0"/>
    <w:rPr>
      <w:rFonts w:eastAsia="宋体" w:cs="Times New Roman"/>
      <w:color w:val="000000"/>
      <w:sz w:val="24"/>
      <w:szCs w:val="26"/>
    </w:rPr>
  </w:style>
  <w:style w:type="character" w:customStyle="1" w:styleId="64">
    <w:name w:val="批注框文本 Char"/>
    <w:basedOn w:val="36"/>
    <w:link w:val="21"/>
    <w:semiHidden/>
    <w:uiPriority w:val="99"/>
    <w:rPr>
      <w:rFonts w:ascii="Times New Roman" w:hAnsi="Times New Roman" w:eastAsia="宋体" w:cs="Times New Roman"/>
      <w:sz w:val="18"/>
      <w:szCs w:val="18"/>
      <w:lang w:val="zh-CN" w:eastAsia="zh-CN"/>
    </w:rPr>
  </w:style>
  <w:style w:type="paragraph" w:customStyle="1" w:styleId="65">
    <w:name w:val="HTML Top of Form"/>
    <w:basedOn w:val="1"/>
    <w:next w:val="1"/>
    <w:link w:val="66"/>
    <w:uiPriority w:val="0"/>
    <w:pPr>
      <w:widowControl/>
      <w:pBdr>
        <w:bottom w:val="single" w:color="auto" w:sz="6" w:space="1"/>
      </w:pBdr>
      <w:jc w:val="center"/>
    </w:pPr>
    <w:rPr>
      <w:rFonts w:ascii="Arial" w:hAnsi="Arial" w:cs="Arial"/>
      <w:vanish/>
      <w:color w:val="000000"/>
      <w:kern w:val="0"/>
      <w:sz w:val="16"/>
      <w:szCs w:val="16"/>
    </w:rPr>
  </w:style>
  <w:style w:type="character" w:customStyle="1" w:styleId="66">
    <w:name w:val="z-窗体顶端 Char"/>
    <w:basedOn w:val="36"/>
    <w:link w:val="65"/>
    <w:uiPriority w:val="0"/>
    <w:rPr>
      <w:rFonts w:ascii="Arial" w:hAnsi="Arial" w:eastAsia="宋体" w:cs="Arial"/>
      <w:vanish/>
      <w:color w:val="000000"/>
      <w:kern w:val="0"/>
      <w:sz w:val="16"/>
      <w:szCs w:val="16"/>
    </w:rPr>
  </w:style>
  <w:style w:type="paragraph" w:customStyle="1" w:styleId="67">
    <w:name w:val="HTML Bottom of Form"/>
    <w:basedOn w:val="1"/>
    <w:next w:val="1"/>
    <w:link w:val="68"/>
    <w:uiPriority w:val="0"/>
    <w:pPr>
      <w:widowControl/>
      <w:pBdr>
        <w:top w:val="single" w:color="auto" w:sz="6" w:space="1"/>
      </w:pBdr>
      <w:jc w:val="center"/>
    </w:pPr>
    <w:rPr>
      <w:rFonts w:ascii="Arial" w:hAnsi="Arial" w:cs="Arial"/>
      <w:vanish/>
      <w:color w:val="000000"/>
      <w:kern w:val="0"/>
      <w:sz w:val="16"/>
      <w:szCs w:val="16"/>
    </w:rPr>
  </w:style>
  <w:style w:type="character" w:customStyle="1" w:styleId="68">
    <w:name w:val="z-窗体底端 Char"/>
    <w:basedOn w:val="36"/>
    <w:link w:val="67"/>
    <w:uiPriority w:val="0"/>
    <w:rPr>
      <w:rFonts w:ascii="Arial" w:hAnsi="Arial" w:eastAsia="宋体" w:cs="Arial"/>
      <w:vanish/>
      <w:color w:val="000000"/>
      <w:kern w:val="0"/>
      <w:sz w:val="16"/>
      <w:szCs w:val="16"/>
    </w:rPr>
  </w:style>
  <w:style w:type="paragraph" w:customStyle="1" w:styleId="69">
    <w:name w:val="Default"/>
    <w:link w:val="158"/>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70">
    <w:name w:val="label1"/>
    <w:uiPriority w:val="0"/>
    <w:rPr>
      <w:sz w:val="26"/>
      <w:szCs w:val="26"/>
    </w:rPr>
  </w:style>
  <w:style w:type="paragraph" w:customStyle="1" w:styleId="71">
    <w:name w:val=".."/>
    <w:basedOn w:val="69"/>
    <w:next w:val="69"/>
    <w:uiPriority w:val="0"/>
    <w:rPr>
      <w:color w:val="auto"/>
    </w:rPr>
  </w:style>
  <w:style w:type="paragraph" w:customStyle="1" w:styleId="72">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73">
    <w:name w:val="Contr_List"/>
    <w:basedOn w:val="1"/>
    <w:uiPriority w:val="0"/>
    <w:pPr>
      <w:widowControl/>
      <w:tabs>
        <w:tab w:val="left" w:pos="900"/>
      </w:tabs>
      <w:spacing w:after="240"/>
      <w:ind w:left="900" w:hanging="720"/>
      <w:jc w:val="left"/>
    </w:pPr>
    <w:rPr>
      <w:rFonts w:ascii="Arial" w:hAnsi="Arial"/>
      <w:kern w:val="0"/>
      <w:sz w:val="24"/>
      <w:szCs w:val="24"/>
      <w:lang w:val="en-GB" w:eastAsia="en-US"/>
    </w:rPr>
  </w:style>
  <w:style w:type="paragraph" w:customStyle="1" w:styleId="74">
    <w:name w:val="文档正文"/>
    <w:basedOn w:val="1"/>
    <w:uiPriority w:val="0"/>
    <w:pPr>
      <w:spacing w:before="120" w:after="120" w:line="360" w:lineRule="auto"/>
    </w:pPr>
    <w:rPr>
      <w:rFonts w:ascii="宋体" w:hAnsi="Arial" w:eastAsia="幼圆"/>
      <w:sz w:val="24"/>
    </w:rPr>
  </w:style>
  <w:style w:type="character" w:customStyle="1" w:styleId="75">
    <w:name w:val="style631"/>
    <w:uiPriority w:val="0"/>
    <w:rPr>
      <w:rFonts w:hint="default" w:ascii="Arial" w:hAnsi="Arial" w:cs="Arial"/>
      <w:b/>
      <w:bCs/>
      <w:color w:val="FF6600"/>
      <w:sz w:val="28"/>
      <w:szCs w:val="28"/>
      <w:u w:val="none"/>
    </w:rPr>
  </w:style>
  <w:style w:type="paragraph" w:customStyle="1" w:styleId="76">
    <w:name w:val="Char"/>
    <w:basedOn w:val="1"/>
    <w:autoRedefine/>
    <w:uiPriority w:val="0"/>
    <w:pPr>
      <w:tabs>
        <w:tab w:val="left" w:pos="360"/>
      </w:tabs>
    </w:pPr>
    <w:rPr>
      <w:sz w:val="24"/>
      <w:szCs w:val="24"/>
    </w:rPr>
  </w:style>
  <w:style w:type="paragraph" w:customStyle="1" w:styleId="77">
    <w:name w:val="Char Char Char Char Char Char Char Char Char"/>
    <w:basedOn w:val="1"/>
    <w:autoRedefine/>
    <w:uiPriority w:val="0"/>
    <w:pPr>
      <w:widowControl/>
      <w:spacing w:after="160" w:line="240" w:lineRule="exact"/>
      <w:jc w:val="left"/>
    </w:pPr>
    <w:rPr>
      <w:rFonts w:ascii="Verdana" w:hAnsi="Verdana" w:eastAsia="仿宋_GB2312"/>
      <w:kern w:val="0"/>
      <w:sz w:val="24"/>
      <w:lang w:eastAsia="en-US"/>
    </w:rPr>
  </w:style>
  <w:style w:type="character" w:customStyle="1" w:styleId="78">
    <w:name w:val="HTML 预设格式 Char"/>
    <w:basedOn w:val="36"/>
    <w:link w:val="29"/>
    <w:uiPriority w:val="0"/>
    <w:rPr>
      <w:rFonts w:ascii="宋体" w:hAnsi="宋体" w:eastAsia="宋体" w:cs="宋体"/>
      <w:kern w:val="0"/>
      <w:sz w:val="24"/>
      <w:szCs w:val="24"/>
    </w:rPr>
  </w:style>
  <w:style w:type="paragraph" w:customStyle="1" w:styleId="79">
    <w:name w:val="Char Char Char Char1 Char Char Char Char"/>
    <w:basedOn w:val="1"/>
    <w:autoRedefine/>
    <w:uiPriority w:val="0"/>
    <w:pPr>
      <w:widowControl/>
      <w:numPr>
        <w:ilvl w:val="0"/>
        <w:numId w:val="2"/>
      </w:numPr>
      <w:tabs>
        <w:tab w:val="clear" w:pos="900"/>
      </w:tabs>
      <w:spacing w:after="160" w:line="240" w:lineRule="exact"/>
      <w:ind w:left="0" w:firstLine="0"/>
      <w:jc w:val="left"/>
    </w:pPr>
    <w:rPr>
      <w:rFonts w:ascii="Verdana" w:hAnsi="Verdana" w:eastAsia="仿宋_GB2312"/>
      <w:kern w:val="0"/>
      <w:sz w:val="24"/>
      <w:lang w:eastAsia="en-US"/>
    </w:rPr>
  </w:style>
  <w:style w:type="paragraph" w:customStyle="1" w:styleId="80">
    <w:name w:val="Char Char1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81">
    <w:name w:val="Char2"/>
    <w:basedOn w:val="1"/>
    <w:autoRedefine/>
    <w:uiPriority w:val="0"/>
    <w:pPr>
      <w:tabs>
        <w:tab w:val="left" w:pos="360"/>
      </w:tabs>
    </w:pPr>
    <w:rPr>
      <w:sz w:val="24"/>
      <w:szCs w:val="24"/>
    </w:rPr>
  </w:style>
  <w:style w:type="paragraph" w:customStyle="1" w:styleId="82">
    <w:name w:val="段 Char"/>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83">
    <w:name w:val="Heading Bar"/>
    <w:basedOn w:val="3"/>
    <w:next w:val="4"/>
    <w:link w:val="84"/>
    <w:uiPriority w:val="0"/>
    <w:pPr>
      <w:keepLines/>
      <w:widowControl/>
      <w:overflowPunct w:val="0"/>
      <w:autoSpaceDE w:val="0"/>
      <w:autoSpaceDN w:val="0"/>
      <w:adjustRightInd w:val="0"/>
      <w:spacing w:before="120" w:after="120"/>
      <w:ind w:left="0" w:leftChars="0" w:firstLine="0"/>
      <w:textAlignment w:val="baseline"/>
    </w:pPr>
    <w:rPr>
      <w:rFonts w:hAnsi="Book Antiqua"/>
      <w:b/>
      <w:bCs/>
      <w:spacing w:val="12"/>
      <w:kern w:val="0"/>
      <w:sz w:val="24"/>
      <w:szCs w:val="20"/>
    </w:rPr>
  </w:style>
  <w:style w:type="character" w:customStyle="1" w:styleId="84">
    <w:name w:val="Heading Bar Char"/>
    <w:link w:val="83"/>
    <w:uiPriority w:val="0"/>
    <w:rPr>
      <w:rFonts w:ascii="宋体" w:hAnsi="Book Antiqua" w:eastAsia="宋体" w:cs="Times New Roman"/>
      <w:b/>
      <w:bCs/>
      <w:spacing w:val="12"/>
      <w:kern w:val="0"/>
      <w:sz w:val="24"/>
      <w:szCs w:val="20"/>
    </w:rPr>
  </w:style>
  <w:style w:type="character" w:customStyle="1" w:styleId="85">
    <w:name w:val="Highlighted Variable"/>
    <w:uiPriority w:val="0"/>
    <w:rPr>
      <w:color w:val="0000FF"/>
    </w:rPr>
  </w:style>
  <w:style w:type="paragraph" w:customStyle="1" w:styleId="86">
    <w:name w:val="小标题"/>
    <w:basedOn w:val="1"/>
    <w:next w:val="11"/>
    <w:uiPriority w:val="0"/>
    <w:pPr>
      <w:tabs>
        <w:tab w:val="left" w:pos="420"/>
      </w:tabs>
      <w:spacing w:before="25" w:beforeLines="25" w:after="25" w:afterLines="25"/>
      <w:ind w:left="420" w:hanging="420"/>
    </w:pPr>
    <w:rPr>
      <w:rFonts w:ascii="Arial" w:hAnsi="Arial" w:eastAsia="黑体"/>
      <w:b/>
      <w:sz w:val="28"/>
      <w:szCs w:val="24"/>
    </w:rPr>
  </w:style>
  <w:style w:type="paragraph" w:customStyle="1" w:styleId="87">
    <w:name w:val="项目排列"/>
    <w:basedOn w:val="1"/>
    <w:uiPriority w:val="0"/>
    <w:pPr>
      <w:tabs>
        <w:tab w:val="left" w:pos="900"/>
      </w:tabs>
      <w:spacing w:before="50" w:beforeLines="50" w:after="50" w:afterLines="50" w:line="300" w:lineRule="auto"/>
      <w:ind w:left="900" w:hanging="420"/>
    </w:pPr>
    <w:rPr>
      <w:rFonts w:eastAsia="楷体_GB2312"/>
      <w:sz w:val="30"/>
      <w:szCs w:val="24"/>
    </w:rPr>
  </w:style>
  <w:style w:type="character" w:customStyle="1" w:styleId="88">
    <w:name w:val="批注文字 Char"/>
    <w:link w:val="13"/>
    <w:semiHidden/>
    <w:uiPriority w:val="0"/>
    <w:rPr>
      <w:rFonts w:eastAsia="宋体"/>
      <w:szCs w:val="24"/>
    </w:rPr>
  </w:style>
  <w:style w:type="character" w:customStyle="1" w:styleId="89">
    <w:name w:val="批注文字 Char1"/>
    <w:basedOn w:val="36"/>
    <w:semiHidden/>
    <w:uiPriority w:val="99"/>
    <w:rPr>
      <w:rFonts w:ascii="Times New Roman" w:hAnsi="Times New Roman" w:eastAsia="宋体" w:cs="Times New Roman"/>
      <w:szCs w:val="20"/>
    </w:rPr>
  </w:style>
  <w:style w:type="paragraph" w:customStyle="1" w:styleId="90">
    <w:name w:val="样式2"/>
    <w:basedOn w:val="4"/>
    <w:uiPriority w:val="0"/>
    <w:pPr>
      <w:numPr>
        <w:ilvl w:val="1"/>
        <w:numId w:val="3"/>
      </w:numPr>
      <w:spacing w:line="360" w:lineRule="auto"/>
      <w:jc w:val="left"/>
    </w:pPr>
  </w:style>
  <w:style w:type="character" w:customStyle="1" w:styleId="91">
    <w:name w:val="批注主题 Char"/>
    <w:basedOn w:val="89"/>
    <w:link w:val="32"/>
    <w:semiHidden/>
    <w:uiPriority w:val="99"/>
    <w:rPr>
      <w:rFonts w:ascii="Times New Roman" w:hAnsi="Times New Roman" w:eastAsia="宋体" w:cs="Times New Roman"/>
      <w:b/>
      <w:bCs/>
      <w:sz w:val="24"/>
      <w:szCs w:val="20"/>
      <w:lang w:val="zh-CN" w:eastAsia="zh-CN"/>
    </w:rPr>
  </w:style>
  <w:style w:type="paragraph" w:customStyle="1" w:styleId="92">
    <w:name w:val="InfoBlue"/>
    <w:basedOn w:val="1"/>
    <w:next w:val="14"/>
    <w:autoRedefine/>
    <w:uiPriority w:val="0"/>
    <w:pPr>
      <w:numPr>
        <w:ilvl w:val="0"/>
        <w:numId w:val="4"/>
      </w:numPr>
      <w:spacing w:line="360" w:lineRule="exact"/>
      <w:jc w:val="left"/>
    </w:pPr>
    <w:rPr>
      <w:rFonts w:ascii="宋体"/>
      <w:snapToGrid w:val="0"/>
      <w:color w:val="000000"/>
      <w:kern w:val="0"/>
      <w:sz w:val="20"/>
    </w:rPr>
  </w:style>
  <w:style w:type="paragraph" w:styleId="93">
    <w:name w:val="List Paragraph"/>
    <w:basedOn w:val="1"/>
    <w:link w:val="121"/>
    <w:qFormat/>
    <w:uiPriority w:val="34"/>
    <w:pPr>
      <w:ind w:firstLine="420" w:firstLineChars="200"/>
    </w:pPr>
    <w:rPr>
      <w:rFonts w:ascii="Calibri" w:hAnsi="Calibri"/>
      <w:szCs w:val="22"/>
    </w:rPr>
  </w:style>
  <w:style w:type="paragraph" w:customStyle="1" w:styleId="94">
    <w:name w:val="正文文本缩进 2 Char Char"/>
    <w:basedOn w:val="1"/>
    <w:uiPriority w:val="0"/>
    <w:pPr>
      <w:widowControl/>
      <w:spacing w:line="360" w:lineRule="auto"/>
      <w:ind w:firstLine="480" w:firstLineChars="200"/>
    </w:pPr>
    <w:rPr>
      <w:rFonts w:hint="eastAsia" w:ascii="宋体" w:hAnsi="宋体"/>
      <w:color w:val="000000"/>
      <w:kern w:val="0"/>
      <w:sz w:val="24"/>
    </w:rPr>
  </w:style>
  <w:style w:type="paragraph" w:customStyle="1" w:styleId="95">
    <w:name w:val="样式 标题 1featureheadA章H1PIM 1Heading 0Arial 14 FettArial 1..."/>
    <w:basedOn w:val="2"/>
    <w:uiPriority w:val="0"/>
    <w:pPr>
      <w:keepNext w:val="0"/>
      <w:numPr>
        <w:ilvl w:val="0"/>
        <w:numId w:val="5"/>
      </w:numPr>
      <w:tabs>
        <w:tab w:val="left" w:pos="432"/>
      </w:tabs>
      <w:spacing w:before="312" w:after="312" w:line="360" w:lineRule="auto"/>
    </w:pPr>
    <w:rPr>
      <w:rFonts w:eastAsia="黑体"/>
      <w:b/>
      <w:color w:val="000000"/>
      <w:kern w:val="44"/>
      <w:sz w:val="32"/>
    </w:rPr>
  </w:style>
  <w:style w:type="paragraph" w:customStyle="1" w:styleId="96">
    <w:name w:val="1级描述"/>
    <w:basedOn w:val="1"/>
    <w:uiPriority w:val="0"/>
    <w:pPr>
      <w:ind w:firstLine="420"/>
    </w:pPr>
    <w:rPr>
      <w:szCs w:val="24"/>
    </w:rPr>
  </w:style>
  <w:style w:type="paragraph" w:customStyle="1" w:styleId="97">
    <w:name w:val="Char Char Char"/>
    <w:basedOn w:val="1"/>
    <w:uiPriority w:val="0"/>
    <w:rPr>
      <w:szCs w:val="24"/>
    </w:rPr>
  </w:style>
  <w:style w:type="paragraph" w:customStyle="1" w:styleId="98">
    <w:name w:val="Char Char Char Char Char Char"/>
    <w:basedOn w:val="1"/>
    <w:uiPriority w:val="0"/>
    <w:pPr>
      <w:adjustRightInd w:val="0"/>
      <w:spacing w:line="360" w:lineRule="auto"/>
    </w:pPr>
    <w:rPr>
      <w:kern w:val="0"/>
      <w:sz w:val="24"/>
    </w:rPr>
  </w:style>
  <w:style w:type="character" w:customStyle="1" w:styleId="99">
    <w:name w:val="正文首行缩进 2 Char"/>
    <w:basedOn w:val="58"/>
    <w:link w:val="33"/>
    <w:uiPriority w:val="0"/>
    <w:rPr>
      <w:rFonts w:ascii="Times New Roman" w:hAnsi="Times New Roman" w:eastAsia="宋体" w:cs="Times New Roman"/>
      <w:sz w:val="24"/>
      <w:szCs w:val="20"/>
      <w:lang w:val="zh-CN" w:eastAsia="zh-CN"/>
    </w:rPr>
  </w:style>
  <w:style w:type="paragraph" w:customStyle="1" w:styleId="100">
    <w:name w:val="Char1 Char Char Char Char Char"/>
    <w:basedOn w:val="1"/>
    <w:uiPriority w:val="0"/>
    <w:rPr>
      <w:rFonts w:ascii="Tahoma" w:hAnsi="Tahoma"/>
      <w:sz w:val="24"/>
    </w:rPr>
  </w:style>
  <w:style w:type="paragraph" w:customStyle="1" w:styleId="101">
    <w:name w:val="Char Char Char Char Char Char Char Char Char Char Char Char Char Char Char Char Char Char Char Char Char Char Char Char Char Char Char Char Char Char Char Char Char"/>
    <w:basedOn w:val="1"/>
    <w:autoRedefine/>
    <w:uiPriority w:val="0"/>
    <w:pPr>
      <w:widowControl/>
      <w:spacing w:after="160" w:line="240" w:lineRule="exact"/>
      <w:jc w:val="left"/>
    </w:pPr>
    <w:rPr>
      <w:rFonts w:ascii="Verdana" w:hAnsi="Verdana" w:eastAsia="仿宋_GB2312"/>
      <w:kern w:val="0"/>
      <w:sz w:val="24"/>
      <w:lang w:eastAsia="en-US"/>
    </w:rPr>
  </w:style>
  <w:style w:type="character" w:customStyle="1" w:styleId="102">
    <w:name w:val="普通文字 Char Char"/>
    <w:uiPriority w:val="0"/>
    <w:rPr>
      <w:rFonts w:ascii="宋体" w:hAnsi="Courier New" w:eastAsia="宋体"/>
      <w:kern w:val="2"/>
      <w:sz w:val="21"/>
      <w:lang w:val="en-US" w:eastAsia="zh-CN" w:bidi="ar-SA"/>
    </w:rPr>
  </w:style>
  <w:style w:type="paragraph" w:customStyle="1" w:styleId="103">
    <w:name w:val="style6"/>
    <w:basedOn w:val="1"/>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104">
    <w:name w:val="style51"/>
    <w:uiPriority w:val="0"/>
    <w:rPr>
      <w:color w:val="000000"/>
    </w:rPr>
  </w:style>
  <w:style w:type="paragraph" w:customStyle="1" w:styleId="105">
    <w:name w:val="锐丰正文 Char"/>
    <w:basedOn w:val="1"/>
    <w:link w:val="106"/>
    <w:uiPriority w:val="0"/>
    <w:pPr>
      <w:spacing w:line="520" w:lineRule="exact"/>
      <w:ind w:firstLine="200" w:firstLineChars="200"/>
    </w:pPr>
    <w:rPr>
      <w:rFonts w:eastAsia="楷体_GB2312"/>
      <w:sz w:val="28"/>
      <w:szCs w:val="24"/>
    </w:rPr>
  </w:style>
  <w:style w:type="character" w:customStyle="1" w:styleId="106">
    <w:name w:val="锐丰正文 Char Char"/>
    <w:link w:val="105"/>
    <w:uiPriority w:val="0"/>
    <w:rPr>
      <w:rFonts w:ascii="Times New Roman" w:hAnsi="Times New Roman" w:eastAsia="楷体_GB2312" w:cs="Times New Roman"/>
      <w:sz w:val="28"/>
      <w:szCs w:val="24"/>
    </w:rPr>
  </w:style>
  <w:style w:type="paragraph" w:customStyle="1" w:styleId="107">
    <w:name w:val="正文（首行缩进2字符）"/>
    <w:basedOn w:val="1"/>
    <w:link w:val="108"/>
    <w:uiPriority w:val="0"/>
    <w:pPr>
      <w:spacing w:line="360" w:lineRule="auto"/>
      <w:ind w:firstLine="461" w:firstLineChars="192"/>
    </w:pPr>
    <w:rPr>
      <w:rFonts w:ascii="Arial" w:hAnsi="Arial"/>
      <w:sz w:val="24"/>
      <w:szCs w:val="28"/>
    </w:rPr>
  </w:style>
  <w:style w:type="character" w:customStyle="1" w:styleId="108">
    <w:name w:val="正文（首行缩进2字符） Char"/>
    <w:link w:val="107"/>
    <w:uiPriority w:val="0"/>
    <w:rPr>
      <w:rFonts w:ascii="Arial" w:hAnsi="Arial" w:eastAsia="宋体" w:cs="Times New Roman"/>
      <w:sz w:val="24"/>
      <w:szCs w:val="28"/>
    </w:rPr>
  </w:style>
  <w:style w:type="character" w:customStyle="1" w:styleId="109">
    <w:name w:val="Char Char Char Char Char Char Char Char"/>
    <w:link w:val="110"/>
    <w:locked/>
    <w:uiPriority w:val="0"/>
    <w:rPr>
      <w:rFonts w:ascii="Tahoma" w:hAnsi="Tahoma" w:eastAsia="宋体" w:cs="Tahoma"/>
      <w:sz w:val="24"/>
    </w:rPr>
  </w:style>
  <w:style w:type="paragraph" w:customStyle="1" w:styleId="110">
    <w:name w:val="Char Char Char Char Char Char Char"/>
    <w:basedOn w:val="1"/>
    <w:link w:val="109"/>
    <w:uiPriority w:val="0"/>
    <w:rPr>
      <w:rFonts w:ascii="Tahoma" w:hAnsi="Tahoma" w:cs="Tahoma"/>
      <w:sz w:val="24"/>
      <w:szCs w:val="22"/>
    </w:rPr>
  </w:style>
  <w:style w:type="character" w:customStyle="1" w:styleId="111">
    <w:name w:val="Normal Indent Char Char"/>
    <w:uiPriority w:val="0"/>
    <w:rPr>
      <w:rFonts w:eastAsia="宋体"/>
      <w:kern w:val="2"/>
      <w:sz w:val="21"/>
      <w:szCs w:val="24"/>
      <w:lang w:val="en-US" w:eastAsia="zh-CN" w:bidi="ar-SA"/>
    </w:rPr>
  </w:style>
  <w:style w:type="paragraph" w:customStyle="1" w:styleId="112">
    <w:name w:val="p0"/>
    <w:basedOn w:val="1"/>
    <w:uiPriority w:val="0"/>
    <w:pPr>
      <w:widowControl/>
    </w:pPr>
    <w:rPr>
      <w:kern w:val="0"/>
      <w:szCs w:val="21"/>
    </w:rPr>
  </w:style>
  <w:style w:type="paragraph" w:customStyle="1" w:styleId="113">
    <w:name w:val="文字"/>
    <w:basedOn w:val="1"/>
    <w:uiPriority w:val="0"/>
    <w:pPr>
      <w:tabs>
        <w:tab w:val="left" w:pos="8520"/>
      </w:tabs>
      <w:spacing w:line="312" w:lineRule="auto"/>
      <w:ind w:right="-210" w:firstLine="556"/>
    </w:pPr>
    <w:rPr>
      <w:rFonts w:ascii="宋体"/>
      <w:sz w:val="28"/>
    </w:rPr>
  </w:style>
  <w:style w:type="character" w:customStyle="1" w:styleId="114">
    <w:name w:val="文档结构图 Char"/>
    <w:basedOn w:val="36"/>
    <w:link w:val="12"/>
    <w:uiPriority w:val="0"/>
    <w:rPr>
      <w:rFonts w:ascii="Times New Roman" w:hAnsi="Times New Roman" w:eastAsia="宋体" w:cs="Times New Roman"/>
      <w:szCs w:val="24"/>
      <w:shd w:val="clear" w:color="auto" w:fill="000080"/>
      <w:lang w:val="zh-CN" w:eastAsia="zh-CN"/>
    </w:rPr>
  </w:style>
  <w:style w:type="paragraph" w:customStyle="1" w:styleId="115">
    <w:name w:val="列出段落1"/>
    <w:basedOn w:val="1"/>
    <w:qFormat/>
    <w:uiPriority w:val="0"/>
    <w:pPr>
      <w:ind w:firstLine="420" w:firstLineChars="200"/>
    </w:pPr>
    <w:rPr>
      <w:rFonts w:ascii="Calibri" w:hAnsi="Calibri"/>
      <w:szCs w:val="22"/>
    </w:rPr>
  </w:style>
  <w:style w:type="character" w:customStyle="1" w:styleId="116">
    <w:name w:val="副标题 Char"/>
    <w:basedOn w:val="36"/>
    <w:link w:val="25"/>
    <w:uiPriority w:val="0"/>
    <w:rPr>
      <w:rFonts w:ascii="Cambria" w:hAnsi="Cambria" w:eastAsia="宋体" w:cs="Times New Roman"/>
      <w:b/>
      <w:bCs/>
      <w:kern w:val="28"/>
      <w:sz w:val="32"/>
      <w:szCs w:val="32"/>
    </w:rPr>
  </w:style>
  <w:style w:type="paragraph" w:customStyle="1" w:styleId="117">
    <w:name w:val="Char1"/>
    <w:basedOn w:val="1"/>
    <w:autoRedefine/>
    <w:uiPriority w:val="0"/>
    <w:pPr>
      <w:tabs>
        <w:tab w:val="left" w:pos="360"/>
      </w:tabs>
    </w:pPr>
    <w:rPr>
      <w:sz w:val="24"/>
      <w:szCs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List Paragraph1"/>
    <w:basedOn w:val="1"/>
    <w:uiPriority w:val="99"/>
    <w:pPr>
      <w:ind w:firstLine="420" w:firstLineChars="200"/>
    </w:pPr>
    <w:rPr>
      <w:rFonts w:ascii="Calibri" w:hAnsi="Calibri" w:cs="Calibri"/>
      <w:szCs w:val="21"/>
    </w:rPr>
  </w:style>
  <w:style w:type="character" w:customStyle="1" w:styleId="121">
    <w:name w:val="列出段落 Char"/>
    <w:link w:val="93"/>
    <w:uiPriority w:val="34"/>
    <w:rPr>
      <w:rFonts w:ascii="Calibri" w:hAnsi="Calibri" w:eastAsia="宋体" w:cs="Times New Roman"/>
    </w:rPr>
  </w:style>
  <w:style w:type="paragraph" w:styleId="1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apple-converted-space"/>
    <w:uiPriority w:val="0"/>
  </w:style>
  <w:style w:type="character" w:customStyle="1" w:styleId="124">
    <w:name w:val="short_text1"/>
    <w:uiPriority w:val="0"/>
    <w:rPr>
      <w:sz w:val="26"/>
      <w:szCs w:val="26"/>
    </w:rPr>
  </w:style>
  <w:style w:type="paragraph" w:customStyle="1" w:styleId="125">
    <w:name w:val="列出段落2"/>
    <w:basedOn w:val="1"/>
    <w:qFormat/>
    <w:uiPriority w:val="0"/>
    <w:pPr>
      <w:ind w:firstLine="420" w:firstLineChars="200"/>
    </w:pPr>
    <w:rPr>
      <w:rFonts w:ascii="Calibri" w:hAnsi="Calibri"/>
      <w:szCs w:val="22"/>
    </w:rPr>
  </w:style>
  <w:style w:type="paragraph" w:customStyle="1" w:styleId="126">
    <w:name w:val="正文1"/>
    <w:basedOn w:val="1"/>
    <w:uiPriority w:val="0"/>
    <w:pPr>
      <w:widowControl/>
      <w:spacing w:after="200" w:line="300" w:lineRule="atLeast"/>
      <w:jc w:val="left"/>
    </w:pPr>
    <w:rPr>
      <w:rFonts w:ascii="Calibri" w:hAnsi="Calibri" w:cs="宋体"/>
      <w:kern w:val="0"/>
      <w:sz w:val="22"/>
      <w:szCs w:val="22"/>
    </w:rPr>
  </w:style>
  <w:style w:type="paragraph" w:customStyle="1" w:styleId="127">
    <w:name w:val="段"/>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28">
    <w:name w:val="HTML 地址 Char"/>
    <w:basedOn w:val="36"/>
    <w:link w:val="16"/>
    <w:uiPriority w:val="0"/>
    <w:rPr>
      <w:rFonts w:ascii="宋体" w:hAnsi="宋体" w:eastAsia="宋体" w:cs="Times New Roman"/>
      <w:i/>
      <w:iCs/>
      <w:kern w:val="0"/>
      <w:sz w:val="24"/>
      <w:szCs w:val="24"/>
    </w:rPr>
  </w:style>
  <w:style w:type="paragraph" w:customStyle="1" w:styleId="129">
    <w:name w:val="附件正文"/>
    <w:basedOn w:val="1"/>
    <w:uiPriority w:val="0"/>
    <w:pPr>
      <w:snapToGrid w:val="0"/>
      <w:spacing w:line="480" w:lineRule="exact"/>
    </w:pPr>
    <w:rPr>
      <w:color w:val="000000"/>
      <w:kern w:val="0"/>
      <w:sz w:val="24"/>
      <w:szCs w:val="24"/>
    </w:rPr>
  </w:style>
  <w:style w:type="paragraph" w:customStyle="1" w:styleId="130">
    <w:name w:val="msolistparagraph"/>
    <w:basedOn w:val="1"/>
    <w:uiPriority w:val="0"/>
    <w:pPr>
      <w:ind w:firstLine="420" w:firstLineChars="200"/>
    </w:pPr>
    <w:rPr>
      <w:rFonts w:ascii="Calibri" w:hAnsi="Calibri"/>
      <w:szCs w:val="22"/>
    </w:rPr>
  </w:style>
  <w:style w:type="character" w:customStyle="1" w:styleId="131">
    <w:name w:val="font41"/>
    <w:uiPriority w:val="0"/>
    <w:rPr>
      <w:rFonts w:hint="eastAsia" w:ascii="宋体" w:hAnsi="宋体" w:eastAsia="宋体" w:cs="宋体"/>
      <w:color w:val="000000"/>
      <w:sz w:val="20"/>
      <w:szCs w:val="20"/>
      <w:u w:val="none"/>
    </w:rPr>
  </w:style>
  <w:style w:type="character" w:customStyle="1" w:styleId="132">
    <w:name w:val="font11"/>
    <w:uiPriority w:val="0"/>
    <w:rPr>
      <w:rFonts w:hint="eastAsia" w:ascii="宋体" w:hAnsi="宋体" w:eastAsia="宋体" w:cs="宋体"/>
      <w:color w:val="000000"/>
      <w:sz w:val="21"/>
      <w:szCs w:val="21"/>
      <w:u w:val="none"/>
    </w:rPr>
  </w:style>
  <w:style w:type="paragraph" w:customStyle="1" w:styleId="133">
    <w:name w:val="列出段落3"/>
    <w:basedOn w:val="1"/>
    <w:uiPriority w:val="0"/>
    <w:pPr>
      <w:ind w:firstLine="420" w:firstLineChars="200"/>
    </w:pPr>
    <w:rPr>
      <w:szCs w:val="24"/>
    </w:rPr>
  </w:style>
  <w:style w:type="paragraph" w:customStyle="1" w:styleId="134">
    <w:name w:val="正文 New New New New New New New New New New New New New New New New New New New New New New"/>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35">
    <w:name w:val="UP标题3"/>
    <w:basedOn w:val="1"/>
    <w:link w:val="136"/>
    <w:uiPriority w:val="99"/>
    <w:pPr>
      <w:spacing w:line="360" w:lineRule="auto"/>
      <w:ind w:firstLine="149" w:firstLineChars="149"/>
    </w:pPr>
    <w:rPr>
      <w:rFonts w:ascii="黑体" w:eastAsia="黑体"/>
      <w:kern w:val="0"/>
      <w:sz w:val="28"/>
    </w:rPr>
  </w:style>
  <w:style w:type="character" w:customStyle="1" w:styleId="136">
    <w:name w:val="UP标题3 Char Char"/>
    <w:link w:val="135"/>
    <w:locked/>
    <w:uiPriority w:val="99"/>
    <w:rPr>
      <w:rFonts w:ascii="黑体" w:hAnsi="Times New Roman" w:eastAsia="黑体" w:cs="Times New Roman"/>
      <w:kern w:val="0"/>
      <w:sz w:val="28"/>
      <w:szCs w:val="20"/>
    </w:rPr>
  </w:style>
  <w:style w:type="paragraph" w:customStyle="1" w:styleId="137">
    <w:name w:val="样式 加粗 段前: 7.8 磅 段后: 7.8 磅 行距: 固定值 20 磅"/>
    <w:basedOn w:val="1"/>
    <w:uiPriority w:val="0"/>
    <w:pPr>
      <w:spacing w:before="60" w:after="60" w:line="360" w:lineRule="exact"/>
    </w:pPr>
    <w:rPr>
      <w:rFonts w:cs="宋体"/>
      <w:b/>
      <w:bCs/>
      <w:spacing w:val="-2"/>
      <w:sz w:val="24"/>
    </w:rPr>
  </w:style>
  <w:style w:type="character" w:customStyle="1" w:styleId="138">
    <w:name w:val="font61"/>
    <w:uiPriority w:val="0"/>
    <w:rPr>
      <w:rFonts w:hint="eastAsia" w:ascii="宋体" w:hAnsi="宋体" w:eastAsia="宋体" w:cs="宋体"/>
      <w:color w:val="000000"/>
      <w:sz w:val="20"/>
      <w:szCs w:val="20"/>
      <w:u w:val="none"/>
    </w:rPr>
  </w:style>
  <w:style w:type="character" w:customStyle="1" w:styleId="139">
    <w:name w:val="font21"/>
    <w:uiPriority w:val="0"/>
    <w:rPr>
      <w:rFonts w:hint="default" w:ascii="Times New Roman" w:hAnsi="Times New Roman" w:cs="Times New Roman"/>
      <w:color w:val="000000"/>
      <w:sz w:val="20"/>
      <w:szCs w:val="20"/>
      <w:u w:val="none"/>
    </w:rPr>
  </w:style>
  <w:style w:type="character" w:customStyle="1" w:styleId="140">
    <w:name w:val="font01"/>
    <w:uiPriority w:val="0"/>
    <w:rPr>
      <w:rFonts w:ascii="Arial" w:hAnsi="Arial" w:cs="Arial"/>
      <w:color w:val="000000"/>
      <w:sz w:val="20"/>
      <w:szCs w:val="20"/>
      <w:u w:val="none"/>
    </w:rPr>
  </w:style>
  <w:style w:type="character" w:customStyle="1" w:styleId="141">
    <w:name w:val="font31"/>
    <w:uiPriority w:val="0"/>
    <w:rPr>
      <w:rFonts w:hint="default" w:ascii="Times New Roman" w:hAnsi="Times New Roman" w:cs="Times New Roman"/>
      <w:b/>
      <w:color w:val="000000"/>
      <w:sz w:val="20"/>
      <w:szCs w:val="20"/>
      <w:u w:val="none"/>
    </w:rPr>
  </w:style>
  <w:style w:type="paragraph" w:customStyle="1" w:styleId="142">
    <w:name w:val="正文序号 1"/>
    <w:basedOn w:val="1"/>
    <w:uiPriority w:val="0"/>
    <w:pPr>
      <w:numPr>
        <w:ilvl w:val="0"/>
        <w:numId w:val="6"/>
      </w:numPr>
      <w:spacing w:before="60"/>
    </w:pPr>
    <w:rPr>
      <w:szCs w:val="24"/>
    </w:rPr>
  </w:style>
  <w:style w:type="paragraph" w:customStyle="1" w:styleId="143">
    <w:name w:val="正文序号 2"/>
    <w:basedOn w:val="1"/>
    <w:uiPriority w:val="0"/>
    <w:pPr>
      <w:numPr>
        <w:ilvl w:val="1"/>
        <w:numId w:val="6"/>
      </w:numPr>
      <w:spacing w:before="60"/>
    </w:pPr>
    <w:rPr>
      <w:szCs w:val="24"/>
    </w:rPr>
  </w:style>
  <w:style w:type="paragraph" w:customStyle="1" w:styleId="144">
    <w:name w:val="正文序号 3"/>
    <w:basedOn w:val="1"/>
    <w:uiPriority w:val="0"/>
    <w:pPr>
      <w:numPr>
        <w:ilvl w:val="2"/>
        <w:numId w:val="6"/>
      </w:numPr>
      <w:spacing w:before="60"/>
    </w:pPr>
    <w:rPr>
      <w:szCs w:val="24"/>
    </w:rPr>
  </w:style>
  <w:style w:type="paragraph" w:customStyle="1" w:styleId="145">
    <w:name w:val="正文序号 4"/>
    <w:basedOn w:val="1"/>
    <w:uiPriority w:val="0"/>
    <w:pPr>
      <w:numPr>
        <w:ilvl w:val="3"/>
        <w:numId w:val="6"/>
      </w:numPr>
      <w:spacing w:before="60"/>
    </w:pPr>
    <w:rPr>
      <w:szCs w:val="24"/>
    </w:rPr>
  </w:style>
  <w:style w:type="paragraph" w:customStyle="1" w:styleId="146">
    <w:name w:val="列出段落4"/>
    <w:basedOn w:val="1"/>
    <w:qFormat/>
    <w:uiPriority w:val="34"/>
    <w:pPr>
      <w:ind w:firstLine="420" w:firstLineChars="200"/>
    </w:pPr>
    <w:rPr>
      <w:szCs w:val="24"/>
    </w:rPr>
  </w:style>
  <w:style w:type="paragraph" w:customStyle="1" w:styleId="147">
    <w:name w:val="纯文本1"/>
    <w:basedOn w:val="1"/>
    <w:uiPriority w:val="0"/>
    <w:rPr>
      <w:rFonts w:hint="eastAsia" w:ascii="宋体" w:hAnsi="Courier New"/>
    </w:rPr>
  </w:style>
  <w:style w:type="paragraph" w:customStyle="1" w:styleId="148">
    <w:name w:val="正文缩进1"/>
    <w:basedOn w:val="1"/>
    <w:uiPriority w:val="0"/>
    <w:pPr>
      <w:ind w:firstLine="420"/>
    </w:pPr>
  </w:style>
  <w:style w:type="paragraph" w:customStyle="1" w:styleId="149">
    <w:name w:val="列出段落5"/>
    <w:basedOn w:val="1"/>
    <w:uiPriority w:val="0"/>
    <w:pPr>
      <w:ind w:firstLine="420" w:firstLineChars="200"/>
    </w:pPr>
    <w:rPr>
      <w:rFonts w:ascii="Calibri" w:hAnsi="Calibri"/>
      <w:szCs w:val="22"/>
    </w:rPr>
  </w:style>
  <w:style w:type="paragraph" w:customStyle="1" w:styleId="150">
    <w:name w:val="列出段落6"/>
    <w:basedOn w:val="1"/>
    <w:uiPriority w:val="0"/>
    <w:pPr>
      <w:ind w:firstLine="420" w:firstLineChars="200"/>
    </w:pPr>
    <w:rPr>
      <w:rFonts w:ascii="Calibri" w:hAnsi="Calibri"/>
      <w:szCs w:val="22"/>
    </w:rPr>
  </w:style>
  <w:style w:type="character" w:customStyle="1" w:styleId="151">
    <w:name w:val="font71"/>
    <w:uiPriority w:val="0"/>
    <w:rPr>
      <w:rFonts w:hint="eastAsia" w:ascii="宋体" w:hAnsi="宋体" w:eastAsia="宋体" w:cs="宋体"/>
      <w:color w:val="000000"/>
      <w:sz w:val="24"/>
      <w:szCs w:val="24"/>
      <w:u w:val="none"/>
    </w:rPr>
  </w:style>
  <w:style w:type="character" w:customStyle="1" w:styleId="152">
    <w:name w:val="font51"/>
    <w:uiPriority w:val="0"/>
    <w:rPr>
      <w:rFonts w:ascii="Tahoma" w:hAnsi="Tahoma" w:eastAsia="Tahoma" w:cs="Tahoma"/>
      <w:color w:val="000000"/>
      <w:sz w:val="21"/>
      <w:szCs w:val="21"/>
      <w:u w:val="none"/>
    </w:rPr>
  </w:style>
  <w:style w:type="character" w:customStyle="1" w:styleId="153">
    <w:name w:val="标题 Char"/>
    <w:basedOn w:val="36"/>
    <w:link w:val="31"/>
    <w:uiPriority w:val="0"/>
    <w:rPr>
      <w:rFonts w:ascii="Cambria" w:hAnsi="Cambria" w:eastAsia="宋体" w:cs="Times New Roman"/>
      <w:b/>
      <w:bCs/>
      <w:sz w:val="32"/>
      <w:szCs w:val="32"/>
    </w:rPr>
  </w:style>
  <w:style w:type="paragraph" w:customStyle="1" w:styleId="154">
    <w:name w:val="_Style 1"/>
    <w:basedOn w:val="1"/>
    <w:qFormat/>
    <w:uiPriority w:val="0"/>
    <w:pPr>
      <w:ind w:firstLine="420" w:firstLineChars="200"/>
    </w:pPr>
    <w:rPr>
      <w:rFonts w:ascii="Calibri" w:hAnsi="Calibri"/>
      <w:szCs w:val="22"/>
    </w:rPr>
  </w:style>
  <w:style w:type="paragraph" w:customStyle="1" w:styleId="155">
    <w:name w:val="列出段落7"/>
    <w:basedOn w:val="1"/>
    <w:qFormat/>
    <w:uiPriority w:val="34"/>
    <w:pPr>
      <w:widowControl/>
      <w:ind w:firstLine="420" w:firstLineChars="200"/>
      <w:jc w:val="left"/>
    </w:pPr>
    <w:rPr>
      <w:sz w:val="24"/>
      <w:szCs w:val="24"/>
    </w:rPr>
  </w:style>
  <w:style w:type="character" w:customStyle="1" w:styleId="156">
    <w:name w:val="List Paragraph Char"/>
    <w:link w:val="157"/>
    <w:locked/>
    <w:uiPriority w:val="0"/>
    <w:rPr>
      <w:szCs w:val="24"/>
    </w:rPr>
  </w:style>
  <w:style w:type="paragraph" w:customStyle="1" w:styleId="157">
    <w:name w:val="列出段落8"/>
    <w:basedOn w:val="1"/>
    <w:link w:val="156"/>
    <w:uiPriority w:val="0"/>
    <w:pPr>
      <w:ind w:firstLine="420" w:firstLineChars="200"/>
    </w:pPr>
    <w:rPr>
      <w:rFonts w:asciiTheme="minorHAnsi" w:hAnsiTheme="minorHAnsi" w:eastAsiaTheme="minorEastAsia" w:cstheme="minorBidi"/>
      <w:szCs w:val="24"/>
    </w:rPr>
  </w:style>
  <w:style w:type="character" w:customStyle="1" w:styleId="158">
    <w:name w:val="Default Char"/>
    <w:link w:val="69"/>
    <w:qFormat/>
    <w:locked/>
    <w:uiPriority w:val="0"/>
    <w:rPr>
      <w:rFonts w:ascii="Times New Roman" w:hAnsi="Times New Roman" w:eastAsia="宋体" w:cs="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3887</Words>
  <Characters>22162</Characters>
  <Lines>184</Lines>
  <Paragraphs>51</Paragraphs>
  <TotalTime>77</TotalTime>
  <ScaleCrop>false</ScaleCrop>
  <LinksUpToDate>false</LinksUpToDate>
  <CharactersWithSpaces>25998</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2024-06-12T14:28:00Z</dcterms:created>
  <dc:creator>未定义</dc:creator>
  <cp:lastModifiedBy>admin</cp:lastModifiedBy>
  <dcterms:modified xsi:type="dcterms:W3CDTF">2026-03-20T09:17:18Z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803F33418FE090391EA0BC694CFC34B7_43</vt:lpwstr>
  </property>
</Properties>
</file>